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63" w:rsidRPr="00680337" w:rsidRDefault="00965358" w:rsidP="00A72E14">
      <w:pPr>
        <w:pStyle w:val="a4"/>
        <w:spacing w:beforeLines="100" w:before="312" w:afterLines="50" w:after="156" w:line="360" w:lineRule="auto"/>
        <w:ind w:firstLineChars="150" w:firstLine="663"/>
        <w:jc w:val="center"/>
        <w:outlineLvl w:val="0"/>
        <w:rPr>
          <w:rFonts w:ascii="方正小标宋简体" w:eastAsia="方正小标宋简体"/>
          <w:b/>
          <w:sz w:val="44"/>
          <w:szCs w:val="36"/>
        </w:rPr>
      </w:pPr>
      <w:r w:rsidRPr="00680337">
        <w:rPr>
          <w:rFonts w:ascii="方正小标宋简体" w:eastAsia="方正小标宋简体" w:hint="eastAsia"/>
          <w:b/>
          <w:sz w:val="44"/>
          <w:szCs w:val="36"/>
        </w:rPr>
        <w:t>2020年一季度全国电力可靠性情况通报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黑体" w:eastAsia="黑体" w:hAnsi="黑体"/>
          <w:szCs w:val="32"/>
        </w:rPr>
      </w:pPr>
      <w:r w:rsidRPr="00680337">
        <w:rPr>
          <w:rFonts w:ascii="黑体" w:eastAsia="黑体" w:hAnsi="黑体" w:hint="eastAsia"/>
          <w:szCs w:val="32"/>
        </w:rPr>
        <w:t>一、发电机组可靠性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20</w:t>
      </w:r>
      <w:r w:rsidRPr="00680337">
        <w:rPr>
          <w:rFonts w:ascii="仿宋_GB2312" w:hAnsi="仿宋"/>
          <w:szCs w:val="32"/>
        </w:rPr>
        <w:t>20</w:t>
      </w:r>
      <w:r w:rsidRPr="00680337">
        <w:rPr>
          <w:rFonts w:ascii="仿宋_GB2312" w:hAnsi="仿宋" w:hint="eastAsia"/>
          <w:szCs w:val="32"/>
        </w:rPr>
        <w:t>年一季度，全国主要发电企业燃煤火电、常规水电机组等效可用系数同比均有所上升, 燃煤</w:t>
      </w:r>
      <w:r w:rsidRPr="00680337">
        <w:rPr>
          <w:rFonts w:ascii="仿宋_GB2312" w:hAnsi="仿宋"/>
          <w:szCs w:val="32"/>
        </w:rPr>
        <w:t>机组</w:t>
      </w:r>
      <w:r w:rsidRPr="00680337">
        <w:rPr>
          <w:rFonts w:ascii="仿宋_GB2312" w:hAnsi="仿宋" w:hint="eastAsia"/>
          <w:szCs w:val="32"/>
        </w:rPr>
        <w:t>台平均非计划停运时间均有所下降，台</w:t>
      </w:r>
      <w:r w:rsidRPr="00680337">
        <w:rPr>
          <w:rFonts w:ascii="仿宋_GB2312" w:hAnsi="仿宋"/>
          <w:szCs w:val="32"/>
        </w:rPr>
        <w:t>平均非计划停运次数与去年持平；</w:t>
      </w:r>
      <w:r w:rsidRPr="00680337">
        <w:rPr>
          <w:rFonts w:ascii="仿宋_GB2312" w:hAnsi="仿宋" w:hint="eastAsia"/>
          <w:szCs w:val="32"/>
        </w:rPr>
        <w:t>常规水电机组的非计划停运次数与非计划停运时间</w:t>
      </w:r>
      <w:r w:rsidRPr="00680337">
        <w:rPr>
          <w:rFonts w:ascii="仿宋_GB2312" w:hAnsi="仿宋"/>
          <w:szCs w:val="32"/>
        </w:rPr>
        <w:t>同比均有</w:t>
      </w:r>
      <w:r w:rsidRPr="00680337">
        <w:rPr>
          <w:rFonts w:ascii="仿宋_GB2312" w:hAnsi="仿宋" w:hint="eastAsia"/>
          <w:szCs w:val="32"/>
        </w:rPr>
        <w:t>所</w:t>
      </w:r>
      <w:r w:rsidRPr="00680337">
        <w:rPr>
          <w:rFonts w:ascii="仿宋_GB2312" w:hAnsi="仿宋"/>
          <w:szCs w:val="32"/>
        </w:rPr>
        <w:t>增加</w:t>
      </w:r>
      <w:r w:rsidRPr="00680337">
        <w:rPr>
          <w:rFonts w:ascii="仿宋_GB2312" w:hAnsi="仿宋" w:hint="eastAsia"/>
          <w:szCs w:val="32"/>
        </w:rPr>
        <w:t>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20</w:t>
      </w:r>
      <w:r w:rsidRPr="00680337">
        <w:rPr>
          <w:rFonts w:ascii="仿宋_GB2312" w:hAnsi="仿宋"/>
          <w:szCs w:val="32"/>
        </w:rPr>
        <w:t>20</w:t>
      </w:r>
      <w:r w:rsidRPr="00680337">
        <w:rPr>
          <w:rFonts w:ascii="仿宋_GB2312" w:hAnsi="仿宋" w:hint="eastAsia"/>
          <w:szCs w:val="32"/>
        </w:rPr>
        <w:t>年一季度，主要发电集团</w:t>
      </w:r>
      <w:r w:rsidR="00680337">
        <w:rPr>
          <w:rFonts w:ascii="仿宋_GB2312" w:hAnsi="仿宋" w:hint="eastAsia"/>
          <w:szCs w:val="32"/>
        </w:rPr>
        <w:t>燃煤</w:t>
      </w:r>
      <w:r w:rsidRPr="00680337">
        <w:rPr>
          <w:rFonts w:ascii="仿宋_GB2312" w:hAnsi="仿宋" w:hint="eastAsia"/>
          <w:szCs w:val="32"/>
        </w:rPr>
        <w:t>火电机组等效可用系数达到96.62</w:t>
      </w:r>
      <w:r w:rsidRPr="00680337">
        <w:rPr>
          <w:rFonts w:ascii="仿宋_GB2312" w:hAnsi="仿宋"/>
          <w:szCs w:val="32"/>
        </w:rPr>
        <w:t>%</w:t>
      </w:r>
      <w:r w:rsidRPr="00680337">
        <w:rPr>
          <w:rFonts w:ascii="仿宋_GB2312" w:hAnsi="仿宋" w:hint="eastAsia"/>
          <w:szCs w:val="32"/>
        </w:rPr>
        <w:t>,同比增加1.</w:t>
      </w:r>
      <w:r w:rsidRPr="00680337">
        <w:rPr>
          <w:rFonts w:ascii="仿宋_GB2312" w:hAnsi="仿宋"/>
          <w:szCs w:val="32"/>
        </w:rPr>
        <w:t>16</w:t>
      </w:r>
      <w:r w:rsidRPr="00680337">
        <w:rPr>
          <w:rFonts w:ascii="仿宋_GB2312" w:hAnsi="仿宋" w:hint="eastAsia"/>
          <w:szCs w:val="32"/>
        </w:rPr>
        <w:t>个百分点；机组台平均利用小时</w:t>
      </w:r>
      <w:r w:rsidR="00973E95">
        <w:rPr>
          <w:rFonts w:ascii="仿宋_GB2312" w:hAnsi="仿宋" w:hint="eastAsia"/>
          <w:szCs w:val="32"/>
        </w:rPr>
        <w:t>数</w:t>
      </w:r>
      <w:r w:rsidRPr="00680337">
        <w:rPr>
          <w:rFonts w:ascii="仿宋_GB2312" w:hAnsi="仿宋" w:hint="eastAsia"/>
          <w:szCs w:val="32"/>
        </w:rPr>
        <w:t>933.31小时，同比降低156.13小时；机组台平均非计划停运次数和时间分别为0.10次和7.12小时，其中</w:t>
      </w:r>
      <w:r w:rsidRPr="00680337">
        <w:rPr>
          <w:rFonts w:ascii="仿宋_GB2312" w:hAnsi="仿宋"/>
          <w:szCs w:val="32"/>
        </w:rPr>
        <w:t>非</w:t>
      </w:r>
      <w:r w:rsidR="00680337">
        <w:rPr>
          <w:rFonts w:ascii="仿宋_GB2312" w:hAnsi="仿宋" w:hint="eastAsia"/>
          <w:szCs w:val="32"/>
        </w:rPr>
        <w:t>计划</w:t>
      </w:r>
      <w:r w:rsidRPr="00680337">
        <w:rPr>
          <w:rFonts w:ascii="仿宋_GB2312" w:hAnsi="仿宋"/>
          <w:szCs w:val="32"/>
        </w:rPr>
        <w:t>停</w:t>
      </w:r>
      <w:r w:rsidR="00680337">
        <w:rPr>
          <w:rFonts w:ascii="仿宋_GB2312" w:hAnsi="仿宋" w:hint="eastAsia"/>
          <w:szCs w:val="32"/>
        </w:rPr>
        <w:t>运</w:t>
      </w:r>
      <w:r w:rsidRPr="00680337">
        <w:rPr>
          <w:rFonts w:ascii="仿宋_GB2312" w:hAnsi="仿宋"/>
          <w:szCs w:val="32"/>
        </w:rPr>
        <w:t>次数</w:t>
      </w:r>
      <w:r w:rsidRPr="00680337">
        <w:rPr>
          <w:rFonts w:ascii="仿宋_GB2312" w:hAnsi="仿宋" w:hint="eastAsia"/>
          <w:szCs w:val="32"/>
        </w:rPr>
        <w:t>同比</w:t>
      </w:r>
      <w:r w:rsidRPr="00680337">
        <w:rPr>
          <w:rFonts w:ascii="仿宋_GB2312" w:hAnsi="仿宋"/>
          <w:szCs w:val="32"/>
        </w:rPr>
        <w:t>持平，</w:t>
      </w:r>
      <w:r w:rsidR="00680337" w:rsidRPr="00680337">
        <w:rPr>
          <w:rFonts w:ascii="仿宋_GB2312" w:hAnsi="仿宋"/>
          <w:szCs w:val="32"/>
        </w:rPr>
        <w:t>非</w:t>
      </w:r>
      <w:r w:rsidR="00680337">
        <w:rPr>
          <w:rFonts w:ascii="仿宋_GB2312" w:hAnsi="仿宋" w:hint="eastAsia"/>
          <w:szCs w:val="32"/>
        </w:rPr>
        <w:t>计划</w:t>
      </w:r>
      <w:r w:rsidR="00680337" w:rsidRPr="00680337">
        <w:rPr>
          <w:rFonts w:ascii="仿宋_GB2312" w:hAnsi="仿宋"/>
          <w:szCs w:val="32"/>
        </w:rPr>
        <w:t>停</w:t>
      </w:r>
      <w:r w:rsidR="00680337">
        <w:rPr>
          <w:rFonts w:ascii="仿宋_GB2312" w:hAnsi="仿宋" w:hint="eastAsia"/>
          <w:szCs w:val="32"/>
        </w:rPr>
        <w:t>运</w:t>
      </w:r>
      <w:r w:rsidRPr="00680337">
        <w:rPr>
          <w:rFonts w:ascii="仿宋_GB2312" w:hAnsi="仿宋"/>
          <w:szCs w:val="32"/>
        </w:rPr>
        <w:t>时间</w:t>
      </w:r>
      <w:r w:rsidRPr="00680337">
        <w:rPr>
          <w:rFonts w:ascii="仿宋_GB2312" w:hAnsi="仿宋" w:hint="eastAsia"/>
          <w:szCs w:val="32"/>
        </w:rPr>
        <w:t>同比降低</w:t>
      </w:r>
      <w:r w:rsidRPr="00680337">
        <w:rPr>
          <w:rFonts w:ascii="仿宋_GB2312" w:hAnsi="仿宋"/>
          <w:szCs w:val="32"/>
        </w:rPr>
        <w:t>2.03</w:t>
      </w:r>
      <w:r w:rsidRPr="00680337">
        <w:rPr>
          <w:rFonts w:ascii="仿宋_GB2312" w:hAnsi="仿宋" w:hint="eastAsia"/>
          <w:szCs w:val="32"/>
        </w:rPr>
        <w:t>小时；台平均计划停运时间为65.88小时，同比减少</w:t>
      </w:r>
      <w:r w:rsidRPr="00680337">
        <w:rPr>
          <w:rFonts w:ascii="仿宋_GB2312" w:hAnsi="仿宋"/>
          <w:szCs w:val="32"/>
        </w:rPr>
        <w:t>20.99</w:t>
      </w:r>
      <w:r w:rsidRPr="00680337">
        <w:rPr>
          <w:rFonts w:ascii="仿宋_GB2312" w:hAnsi="仿宋" w:hint="eastAsia"/>
          <w:szCs w:val="32"/>
        </w:rPr>
        <w:t>小时；前三类非计划停运即强迫停运台平均停运次数和时间分别为0.09次和5.32小时，其中非停次数同比持平，强迫停运时间同比降低</w:t>
      </w:r>
      <w:r w:rsidRPr="00680337">
        <w:rPr>
          <w:rFonts w:ascii="仿宋_GB2312" w:hAnsi="仿宋"/>
          <w:szCs w:val="32"/>
        </w:rPr>
        <w:t>0.9</w:t>
      </w:r>
      <w:r w:rsidRPr="00680337">
        <w:rPr>
          <w:rFonts w:ascii="仿宋_GB2312" w:hAnsi="仿宋" w:hint="eastAsia"/>
          <w:szCs w:val="32"/>
        </w:rPr>
        <w:t>3小时。强迫停运发生1</w:t>
      </w:r>
      <w:r w:rsidRPr="00680337">
        <w:rPr>
          <w:rFonts w:ascii="仿宋_GB2312" w:hAnsi="仿宋"/>
          <w:szCs w:val="32"/>
        </w:rPr>
        <w:t>34</w:t>
      </w:r>
      <w:r w:rsidRPr="00680337">
        <w:rPr>
          <w:rFonts w:ascii="仿宋_GB2312" w:hAnsi="仿宋" w:hint="eastAsia"/>
          <w:szCs w:val="32"/>
        </w:rPr>
        <w:t>次，强迫停运总时间为</w:t>
      </w:r>
      <w:r w:rsidRPr="00680337">
        <w:rPr>
          <w:rFonts w:ascii="仿宋_GB2312" w:hAnsi="仿宋"/>
          <w:szCs w:val="32"/>
        </w:rPr>
        <w:t>10300.46</w:t>
      </w:r>
      <w:r w:rsidRPr="00680337">
        <w:rPr>
          <w:rFonts w:ascii="仿宋_GB2312" w:hAnsi="仿宋" w:hint="eastAsia"/>
          <w:szCs w:val="32"/>
        </w:rPr>
        <w:t>小时，占全部火电</w:t>
      </w:r>
      <w:r w:rsidR="00680337">
        <w:rPr>
          <w:rFonts w:ascii="仿宋_GB2312" w:hAnsi="仿宋" w:hint="eastAsia"/>
          <w:szCs w:val="32"/>
        </w:rPr>
        <w:t>机组</w:t>
      </w:r>
      <w:r w:rsidRPr="00680337">
        <w:rPr>
          <w:rFonts w:ascii="仿宋_GB2312" w:hAnsi="仿宋" w:hint="eastAsia"/>
          <w:szCs w:val="32"/>
        </w:rPr>
        <w:t>非计划停运总时间的</w:t>
      </w:r>
      <w:r w:rsidRPr="00680337">
        <w:rPr>
          <w:rFonts w:ascii="仿宋_GB2312" w:hAnsi="仿宋"/>
          <w:szCs w:val="32"/>
        </w:rPr>
        <w:t>77.38</w:t>
      </w:r>
      <w:r w:rsidRPr="00680337">
        <w:rPr>
          <w:rFonts w:ascii="仿宋_GB2312" w:hAnsi="仿宋" w:hint="eastAsia"/>
          <w:szCs w:val="32"/>
        </w:rPr>
        <w:t>%。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其中，1000MW等级机组利用小时843.38</w:t>
      </w:r>
      <w:r w:rsidR="00680337">
        <w:rPr>
          <w:rFonts w:ascii="仿宋_GB2312" w:hAnsi="仿宋" w:hint="eastAsia"/>
          <w:szCs w:val="32"/>
        </w:rPr>
        <w:t>小时，同比减少</w:t>
      </w:r>
      <w:r w:rsidRPr="00680337">
        <w:rPr>
          <w:rFonts w:ascii="仿宋_GB2312" w:hAnsi="仿宋"/>
          <w:szCs w:val="32"/>
        </w:rPr>
        <w:t>304.94</w:t>
      </w:r>
      <w:r w:rsidRPr="00680337">
        <w:rPr>
          <w:rFonts w:ascii="仿宋_GB2312" w:hAnsi="仿宋" w:hint="eastAsia"/>
          <w:szCs w:val="32"/>
        </w:rPr>
        <w:t>小时；机组前三类非计划停运台平均停运次数和时间分别为0.04次和0.9小时，强迫停运</w:t>
      </w:r>
      <w:r w:rsidRPr="00680337">
        <w:rPr>
          <w:rFonts w:ascii="仿宋_GB2312" w:hAnsi="仿宋"/>
          <w:szCs w:val="32"/>
        </w:rPr>
        <w:t>次数</w:t>
      </w:r>
      <w:r w:rsidRPr="00680337">
        <w:rPr>
          <w:rFonts w:ascii="仿宋_GB2312" w:hAnsi="仿宋" w:hint="eastAsia"/>
          <w:szCs w:val="32"/>
        </w:rPr>
        <w:t>同比降低0.0</w:t>
      </w:r>
      <w:r w:rsidRPr="00680337">
        <w:rPr>
          <w:rFonts w:ascii="仿宋_GB2312" w:hAnsi="仿宋"/>
          <w:szCs w:val="32"/>
        </w:rPr>
        <w:t>1</w:t>
      </w:r>
      <w:r w:rsidRPr="00680337">
        <w:rPr>
          <w:rFonts w:ascii="仿宋_GB2312" w:hAnsi="仿宋" w:hint="eastAsia"/>
          <w:szCs w:val="32"/>
        </w:rPr>
        <w:lastRenderedPageBreak/>
        <w:t>次，</w:t>
      </w:r>
      <w:r w:rsidRPr="00680337">
        <w:rPr>
          <w:rFonts w:ascii="仿宋_GB2312" w:hAnsi="仿宋"/>
          <w:szCs w:val="32"/>
        </w:rPr>
        <w:t>强迫停运时间</w:t>
      </w:r>
      <w:r w:rsidRPr="00680337">
        <w:rPr>
          <w:rFonts w:ascii="仿宋_GB2312" w:hAnsi="仿宋" w:hint="eastAsia"/>
          <w:szCs w:val="32"/>
        </w:rPr>
        <w:t>上升0.1小时；强迫停运共发生</w:t>
      </w:r>
      <w:r w:rsidRPr="00680337">
        <w:rPr>
          <w:rFonts w:ascii="仿宋_GB2312" w:hAnsi="仿宋"/>
          <w:szCs w:val="32"/>
        </w:rPr>
        <w:t>4</w:t>
      </w:r>
      <w:r w:rsidRPr="00680337">
        <w:rPr>
          <w:rFonts w:ascii="仿宋_GB2312" w:hAnsi="仿宋" w:hint="eastAsia"/>
          <w:szCs w:val="32"/>
        </w:rPr>
        <w:t>次，累计强迫停运时间为</w:t>
      </w:r>
      <w:r w:rsidRPr="00680337">
        <w:rPr>
          <w:rFonts w:ascii="仿宋_GB2312" w:hAnsi="仿宋"/>
          <w:szCs w:val="32"/>
        </w:rPr>
        <w:t>89.1</w:t>
      </w:r>
      <w:r w:rsidRPr="00680337">
        <w:rPr>
          <w:rFonts w:ascii="仿宋_GB2312" w:hAnsi="仿宋" w:hint="eastAsia"/>
          <w:szCs w:val="32"/>
        </w:rPr>
        <w:t>小时。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20</w:t>
      </w:r>
      <w:r w:rsidRPr="00680337">
        <w:rPr>
          <w:rFonts w:ascii="仿宋_GB2312" w:hAnsi="仿宋"/>
          <w:szCs w:val="32"/>
        </w:rPr>
        <w:t>20</w:t>
      </w:r>
      <w:r w:rsidRPr="00680337">
        <w:rPr>
          <w:rFonts w:ascii="仿宋_GB2312" w:hAnsi="仿宋" w:hint="eastAsia"/>
          <w:szCs w:val="32"/>
        </w:rPr>
        <w:t>年一季度，主要发电集团常规水电机组等效可用系数为</w:t>
      </w:r>
      <w:r w:rsidRPr="00680337">
        <w:rPr>
          <w:rFonts w:ascii="仿宋_GB2312" w:hAnsi="仿宋"/>
          <w:szCs w:val="32"/>
        </w:rPr>
        <w:t>91.71</w:t>
      </w:r>
      <w:r w:rsidRPr="00680337">
        <w:rPr>
          <w:rFonts w:ascii="仿宋_GB2312" w:hAnsi="仿宋" w:hint="eastAsia"/>
          <w:szCs w:val="32"/>
        </w:rPr>
        <w:t>%，同比增加</w:t>
      </w:r>
      <w:r w:rsidRPr="00680337">
        <w:rPr>
          <w:rFonts w:ascii="仿宋_GB2312" w:hAnsi="仿宋"/>
          <w:szCs w:val="32"/>
        </w:rPr>
        <w:t>2.37</w:t>
      </w:r>
      <w:r w:rsidRPr="00680337">
        <w:rPr>
          <w:rFonts w:ascii="仿宋_GB2312" w:hAnsi="仿宋" w:hint="eastAsia"/>
          <w:szCs w:val="32"/>
        </w:rPr>
        <w:t>个百分点；机组台平均利用小时为</w:t>
      </w:r>
      <w:r w:rsidRPr="00680337">
        <w:rPr>
          <w:rFonts w:ascii="仿宋_GB2312" w:hAnsi="仿宋"/>
          <w:szCs w:val="32"/>
        </w:rPr>
        <w:t>687.29</w:t>
      </w:r>
      <w:r w:rsidRPr="00680337">
        <w:rPr>
          <w:rFonts w:ascii="仿宋_GB2312" w:hAnsi="仿宋" w:hint="eastAsia"/>
          <w:szCs w:val="32"/>
        </w:rPr>
        <w:t>小时，同比降低</w:t>
      </w:r>
      <w:r w:rsidRPr="00680337">
        <w:rPr>
          <w:rFonts w:ascii="仿宋_GB2312" w:hAnsi="仿宋"/>
          <w:szCs w:val="32"/>
        </w:rPr>
        <w:t>63.99</w:t>
      </w:r>
      <w:r w:rsidRPr="00680337">
        <w:rPr>
          <w:rFonts w:ascii="仿宋_GB2312" w:hAnsi="仿宋" w:hint="eastAsia"/>
          <w:szCs w:val="32"/>
        </w:rPr>
        <w:t>小时；机组台平均非计划停运次数和时间分别为</w:t>
      </w:r>
      <w:r w:rsidRPr="00680337">
        <w:rPr>
          <w:rFonts w:ascii="仿宋_GB2312" w:hAnsi="仿宋"/>
          <w:szCs w:val="32"/>
        </w:rPr>
        <w:t>0.01</w:t>
      </w:r>
      <w:r w:rsidRPr="00680337">
        <w:rPr>
          <w:rFonts w:ascii="仿宋_GB2312" w:hAnsi="仿宋" w:hint="eastAsia"/>
          <w:szCs w:val="32"/>
        </w:rPr>
        <w:t>次和0.</w:t>
      </w:r>
      <w:r w:rsidRPr="00680337">
        <w:rPr>
          <w:rFonts w:ascii="仿宋_GB2312" w:hAnsi="仿宋"/>
          <w:szCs w:val="32"/>
        </w:rPr>
        <w:t>19</w:t>
      </w:r>
      <w:r w:rsidRPr="00680337">
        <w:rPr>
          <w:rFonts w:ascii="仿宋_GB2312" w:hAnsi="仿宋" w:hint="eastAsia"/>
          <w:szCs w:val="32"/>
        </w:rPr>
        <w:t>小时，非计划停运次数同比持平</w:t>
      </w:r>
      <w:r w:rsidRPr="00680337">
        <w:rPr>
          <w:rFonts w:ascii="仿宋_GB2312" w:hAnsi="仿宋"/>
          <w:szCs w:val="32"/>
        </w:rPr>
        <w:t>，</w:t>
      </w:r>
      <w:r w:rsidRPr="00680337">
        <w:rPr>
          <w:rFonts w:ascii="仿宋_GB2312" w:hAnsi="仿宋" w:hint="eastAsia"/>
          <w:szCs w:val="32"/>
        </w:rPr>
        <w:t>非计划停运时间同比降低0.</w:t>
      </w:r>
      <w:r w:rsidRPr="00680337">
        <w:rPr>
          <w:rFonts w:ascii="仿宋_GB2312" w:hAnsi="仿宋"/>
          <w:szCs w:val="32"/>
        </w:rPr>
        <w:t>5</w:t>
      </w:r>
      <w:r w:rsidRPr="00680337">
        <w:rPr>
          <w:rFonts w:ascii="仿宋_GB2312" w:hAnsi="仿宋" w:hint="eastAsia"/>
          <w:szCs w:val="32"/>
        </w:rPr>
        <w:t>小时。前三类非计划停运即强迫停运台平均停运次数和时间分别为0.0</w:t>
      </w:r>
      <w:r w:rsidRPr="00680337">
        <w:rPr>
          <w:rFonts w:ascii="仿宋_GB2312" w:hAnsi="仿宋"/>
          <w:szCs w:val="32"/>
        </w:rPr>
        <w:t>1</w:t>
      </w:r>
      <w:r w:rsidRPr="00680337">
        <w:rPr>
          <w:rFonts w:ascii="仿宋_GB2312" w:hAnsi="仿宋" w:hint="eastAsia"/>
          <w:szCs w:val="32"/>
        </w:rPr>
        <w:t>次和0.1</w:t>
      </w:r>
      <w:r w:rsidRPr="00680337">
        <w:rPr>
          <w:rFonts w:ascii="仿宋_GB2312" w:hAnsi="仿宋"/>
          <w:szCs w:val="32"/>
        </w:rPr>
        <w:t>4</w:t>
      </w:r>
      <w:r w:rsidRPr="00680337">
        <w:rPr>
          <w:rFonts w:ascii="仿宋_GB2312" w:hAnsi="仿宋" w:hint="eastAsia"/>
          <w:szCs w:val="32"/>
        </w:rPr>
        <w:t>小时，强迫停运次数同比持平</w:t>
      </w:r>
      <w:r w:rsidRPr="00680337">
        <w:rPr>
          <w:rFonts w:ascii="仿宋_GB2312" w:hAnsi="仿宋"/>
          <w:szCs w:val="32"/>
        </w:rPr>
        <w:t>，</w:t>
      </w:r>
      <w:r w:rsidRPr="00680337">
        <w:rPr>
          <w:rFonts w:ascii="仿宋_GB2312" w:hAnsi="仿宋" w:hint="eastAsia"/>
          <w:szCs w:val="32"/>
        </w:rPr>
        <w:t>强迫停运时间同比减少0.</w:t>
      </w:r>
      <w:r w:rsidRPr="00680337">
        <w:rPr>
          <w:rFonts w:ascii="仿宋_GB2312" w:hAnsi="仿宋"/>
          <w:szCs w:val="32"/>
        </w:rPr>
        <w:t>48</w:t>
      </w:r>
      <w:r w:rsidRPr="00680337">
        <w:rPr>
          <w:rFonts w:ascii="仿宋_GB2312" w:hAnsi="仿宋" w:hint="eastAsia"/>
          <w:szCs w:val="32"/>
        </w:rPr>
        <w:t>小时。强迫停运共发生</w:t>
      </w:r>
      <w:r w:rsidRPr="00680337">
        <w:rPr>
          <w:rFonts w:ascii="仿宋_GB2312" w:hAnsi="仿宋"/>
          <w:szCs w:val="32"/>
        </w:rPr>
        <w:t>5</w:t>
      </w:r>
      <w:r w:rsidRPr="00680337">
        <w:rPr>
          <w:rFonts w:ascii="仿宋_GB2312" w:hAnsi="仿宋" w:hint="eastAsia"/>
          <w:szCs w:val="32"/>
        </w:rPr>
        <w:t>次，强迫停运总时间为</w:t>
      </w:r>
      <w:r w:rsidRPr="00680337">
        <w:rPr>
          <w:rFonts w:ascii="仿宋_GB2312" w:hAnsi="仿宋"/>
          <w:szCs w:val="32"/>
        </w:rPr>
        <w:t>140.2</w:t>
      </w:r>
      <w:r w:rsidRPr="00680337">
        <w:rPr>
          <w:rFonts w:ascii="仿宋_GB2312" w:hAnsi="仿宋" w:hint="eastAsia"/>
          <w:szCs w:val="32"/>
        </w:rPr>
        <w:t>小时。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其中，常规水电700MW等级机组利用小时</w:t>
      </w:r>
      <w:r w:rsidRPr="00680337">
        <w:rPr>
          <w:rFonts w:ascii="仿宋_GB2312" w:hAnsi="仿宋"/>
          <w:szCs w:val="32"/>
        </w:rPr>
        <w:t>735.02</w:t>
      </w:r>
      <w:r w:rsidRPr="00680337">
        <w:rPr>
          <w:rFonts w:ascii="仿宋_GB2312" w:hAnsi="仿宋" w:hint="eastAsia"/>
          <w:szCs w:val="32"/>
        </w:rPr>
        <w:t>小时，同比减少</w:t>
      </w:r>
      <w:r w:rsidRPr="00680337">
        <w:rPr>
          <w:rFonts w:ascii="仿宋_GB2312" w:hAnsi="仿宋"/>
          <w:szCs w:val="32"/>
        </w:rPr>
        <w:t>37.05</w:t>
      </w:r>
      <w:r w:rsidRPr="00680337">
        <w:rPr>
          <w:rFonts w:ascii="仿宋_GB2312" w:hAnsi="仿宋" w:hint="eastAsia"/>
          <w:szCs w:val="32"/>
        </w:rPr>
        <w:t>小时；机组台平均强迫停运次数和时间分别为</w:t>
      </w:r>
      <w:r w:rsidRPr="00680337">
        <w:rPr>
          <w:rFonts w:ascii="仿宋_GB2312" w:hAnsi="仿宋"/>
          <w:szCs w:val="32"/>
        </w:rPr>
        <w:t>0</w:t>
      </w:r>
      <w:r w:rsidRPr="00680337">
        <w:rPr>
          <w:rFonts w:ascii="仿宋_GB2312" w:hAnsi="仿宋" w:hint="eastAsia"/>
          <w:szCs w:val="32"/>
        </w:rPr>
        <w:t>次和</w:t>
      </w:r>
      <w:r w:rsidRPr="00680337">
        <w:rPr>
          <w:rFonts w:ascii="仿宋_GB2312" w:hAnsi="仿宋"/>
          <w:szCs w:val="32"/>
        </w:rPr>
        <w:t>0</w:t>
      </w:r>
      <w:r w:rsidRPr="00680337">
        <w:rPr>
          <w:rFonts w:ascii="仿宋_GB2312" w:hAnsi="仿宋" w:hint="eastAsia"/>
          <w:szCs w:val="32"/>
        </w:rPr>
        <w:t>小时，同比分别减少0.02次和2.06小时；强迫停运共发生</w:t>
      </w:r>
      <w:r w:rsidRPr="00680337">
        <w:rPr>
          <w:rFonts w:ascii="仿宋_GB2312" w:hAnsi="仿宋"/>
          <w:szCs w:val="32"/>
        </w:rPr>
        <w:t>0</w:t>
      </w:r>
      <w:r w:rsidRPr="00680337">
        <w:rPr>
          <w:rFonts w:ascii="仿宋_GB2312" w:hAnsi="仿宋" w:hint="eastAsia"/>
          <w:szCs w:val="32"/>
        </w:rPr>
        <w:t>次，强迫停运时间为</w:t>
      </w:r>
      <w:r w:rsidRPr="00680337">
        <w:rPr>
          <w:rFonts w:ascii="仿宋_GB2312" w:hAnsi="仿宋"/>
          <w:szCs w:val="32"/>
        </w:rPr>
        <w:t>0</w:t>
      </w:r>
      <w:r w:rsidRPr="00680337">
        <w:rPr>
          <w:rFonts w:ascii="仿宋_GB2312" w:hAnsi="仿宋" w:hint="eastAsia"/>
          <w:szCs w:val="32"/>
        </w:rPr>
        <w:t>小时。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2020年一季度燃煤</w:t>
      </w:r>
      <w:r w:rsidR="00680337">
        <w:rPr>
          <w:rFonts w:ascii="仿宋_GB2312" w:hAnsi="仿宋" w:hint="eastAsia"/>
          <w:szCs w:val="32"/>
        </w:rPr>
        <w:t>火电</w:t>
      </w:r>
      <w:r w:rsidRPr="00680337">
        <w:rPr>
          <w:rFonts w:ascii="仿宋_GB2312" w:hAnsi="仿宋" w:hint="eastAsia"/>
          <w:szCs w:val="32"/>
        </w:rPr>
        <w:t>机组、常规水电机组按容量分类的运行可靠性综合指标见附表1、附表2。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黑体" w:eastAsia="黑体" w:hAnsi="黑体"/>
          <w:szCs w:val="32"/>
        </w:rPr>
      </w:pPr>
      <w:r w:rsidRPr="00680337">
        <w:rPr>
          <w:rFonts w:ascii="黑体" w:eastAsia="黑体" w:hAnsi="黑体" w:hint="eastAsia"/>
          <w:szCs w:val="32"/>
        </w:rPr>
        <w:t>二、输变电设施可靠性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2020年一季度，全国220千伏及以上电压等级13类输变电设施可靠性指标总体良好，纳入电力可靠性统计的变压器、断路器、架空线路三类主要输变电设施的数量分别达到18999台、48782台和834366千米，</w:t>
      </w:r>
      <w:r w:rsidR="005D1E63" w:rsidRPr="00680337">
        <w:rPr>
          <w:rFonts w:ascii="仿宋_GB2312" w:hAnsi="仿宋" w:hint="eastAsia"/>
          <w:szCs w:val="32"/>
        </w:rPr>
        <w:t>三类设施</w:t>
      </w:r>
      <w:r w:rsidRPr="00680337">
        <w:rPr>
          <w:rFonts w:ascii="仿宋_GB2312" w:hAnsi="仿宋" w:hint="eastAsia"/>
          <w:szCs w:val="32"/>
        </w:rPr>
        <w:t>的可用系数</w:t>
      </w:r>
      <w:r w:rsidR="005D1E63" w:rsidRPr="00680337">
        <w:rPr>
          <w:rFonts w:ascii="仿宋_GB2312" w:hAnsi="仿宋" w:hint="eastAsia"/>
          <w:szCs w:val="32"/>
        </w:rPr>
        <w:t>同比有所提升，</w:t>
      </w:r>
      <w:r w:rsidRPr="00680337">
        <w:rPr>
          <w:rFonts w:ascii="仿宋_GB2312" w:hAnsi="仿宋" w:hint="eastAsia"/>
          <w:szCs w:val="32"/>
        </w:rPr>
        <w:t>强迫停运率</w:t>
      </w:r>
      <w:r w:rsidR="005D1E63" w:rsidRPr="00680337">
        <w:rPr>
          <w:rFonts w:ascii="仿宋_GB2312" w:hAnsi="仿宋" w:hint="eastAsia"/>
          <w:szCs w:val="32"/>
        </w:rPr>
        <w:t>同比</w:t>
      </w:r>
      <w:r w:rsidRPr="00680337">
        <w:rPr>
          <w:rFonts w:ascii="仿宋_GB2312" w:hAnsi="仿宋" w:hint="eastAsia"/>
          <w:szCs w:val="32"/>
        </w:rPr>
        <w:t>有所</w:t>
      </w:r>
      <w:r w:rsidR="005D1E63" w:rsidRPr="00680337">
        <w:rPr>
          <w:rFonts w:ascii="仿宋_GB2312" w:hAnsi="仿宋" w:hint="eastAsia"/>
          <w:szCs w:val="32"/>
        </w:rPr>
        <w:t>下降，但</w:t>
      </w:r>
      <w:r w:rsidRPr="00680337">
        <w:rPr>
          <w:rFonts w:ascii="仿宋_GB2312" w:hAnsi="仿宋" w:hint="eastAsia"/>
          <w:szCs w:val="32"/>
        </w:rPr>
        <w:t>变压器的非计划</w:t>
      </w:r>
      <w:r w:rsidRPr="00680337">
        <w:rPr>
          <w:rFonts w:ascii="仿宋_GB2312" w:hAnsi="仿宋" w:hint="eastAsia"/>
          <w:szCs w:val="32"/>
        </w:rPr>
        <w:lastRenderedPageBreak/>
        <w:t>停运次数和时间同比有所增加。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2020年一季度，</w:t>
      </w:r>
      <w:bookmarkStart w:id="0" w:name="_Hlk12872032"/>
      <w:r w:rsidRPr="00680337">
        <w:rPr>
          <w:rFonts w:ascii="仿宋_GB2312" w:hAnsi="仿宋" w:hint="eastAsia"/>
          <w:szCs w:val="32"/>
        </w:rPr>
        <w:t>全国</w:t>
      </w:r>
      <w:bookmarkEnd w:id="0"/>
      <w:r w:rsidRPr="00680337">
        <w:rPr>
          <w:rFonts w:ascii="仿宋_GB2312" w:hAnsi="仿宋" w:hint="eastAsia"/>
          <w:szCs w:val="32"/>
        </w:rPr>
        <w:t>220千伏及以上电压等级变压器的可用系数为99.869%，同比上升</w:t>
      </w:r>
      <w:r w:rsidR="00551033" w:rsidRPr="00551033">
        <w:rPr>
          <w:rFonts w:ascii="仿宋_GB2312" w:hAnsi="仿宋"/>
          <w:szCs w:val="32"/>
        </w:rPr>
        <w:t>0.02</w:t>
      </w:r>
      <w:r w:rsidRPr="00680337">
        <w:rPr>
          <w:rFonts w:ascii="仿宋_GB2312" w:hAnsi="仿宋" w:hint="eastAsia"/>
          <w:szCs w:val="32"/>
        </w:rPr>
        <w:t>个百分点；强迫停运率为0.106次/百台年，同比下降0.021次/百台年；非计划停运次数和时间分别为24次和0.079小时/台年，同比上升13次和0.06小时/台年。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断路器的可用系数为99.965%，同比上升0.019个百分点；强迫停运率为0.008次/百台年，同比下降0.094次/百台年；非计划停运次数和时间分别为4次和0.004小时/台年，同比下降22次和0.01小时/台年。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架空线路的可用系数为99.737%，同比上升0.162个百分点；强迫停运率为0.029次/百千米年，同比下降0.032次/百千米年；非计划停运次数和时间分别为72次和0.126小时/百千米年，同比下降83次和0.514小时/百千米年。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2020年一季度全国220千伏及以上电压等级架空线路、变压器、断路器等13类输变电设施可靠性综合指标见附表3。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黑体" w:eastAsia="黑体" w:hAnsi="黑体"/>
          <w:szCs w:val="32"/>
        </w:rPr>
      </w:pPr>
      <w:r w:rsidRPr="00680337">
        <w:rPr>
          <w:rFonts w:ascii="黑体" w:eastAsia="黑体" w:hAnsi="黑体" w:hint="eastAsia"/>
          <w:szCs w:val="32"/>
        </w:rPr>
        <w:t>三、供电可靠性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2020年一季度，纳入电力可靠性统计的10（20、6）千伏用户约1051.22万户，同比增加7</w:t>
      </w:r>
      <w:r w:rsidRPr="00680337">
        <w:rPr>
          <w:rFonts w:ascii="仿宋_GB2312" w:hAnsi="仿宋"/>
          <w:szCs w:val="32"/>
        </w:rPr>
        <w:t>9.64</w:t>
      </w:r>
      <w:r w:rsidRPr="00680337">
        <w:rPr>
          <w:rFonts w:ascii="仿宋_GB2312" w:hAnsi="仿宋" w:hint="eastAsia"/>
          <w:szCs w:val="32"/>
        </w:rPr>
        <w:t>万户；10千伏线路总长度496.19万千米，其中架空线路绝缘化率29.43%，线路电缆化率18.42%。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2020年一季度，全国平均供电可靠率为99.9321%，同比上升0</w:t>
      </w:r>
      <w:r w:rsidRPr="00680337">
        <w:rPr>
          <w:rFonts w:ascii="仿宋_GB2312" w:hAnsi="仿宋"/>
          <w:szCs w:val="32"/>
        </w:rPr>
        <w:t>.0417</w:t>
      </w:r>
      <w:r w:rsidRPr="00680337">
        <w:rPr>
          <w:rFonts w:ascii="仿宋_GB2312" w:hAnsi="仿宋" w:hint="eastAsia"/>
          <w:szCs w:val="32"/>
        </w:rPr>
        <w:t>个百分点；平均停电时间1.48小时/户，同</w:t>
      </w:r>
      <w:r w:rsidRPr="00680337">
        <w:rPr>
          <w:rFonts w:ascii="仿宋_GB2312" w:hAnsi="仿宋" w:hint="eastAsia"/>
          <w:szCs w:val="32"/>
        </w:rPr>
        <w:lastRenderedPageBreak/>
        <w:t>比减少0</w:t>
      </w:r>
      <w:r w:rsidRPr="00680337">
        <w:rPr>
          <w:rFonts w:ascii="仿宋_GB2312" w:hAnsi="仿宋"/>
          <w:szCs w:val="32"/>
        </w:rPr>
        <w:t>.89</w:t>
      </w:r>
      <w:r w:rsidRPr="00680337">
        <w:rPr>
          <w:rFonts w:ascii="仿宋_GB2312" w:hAnsi="仿宋" w:hint="eastAsia"/>
          <w:szCs w:val="32"/>
        </w:rPr>
        <w:t>小时/户。其中，故障停电时间1.00小时/户，同比减少0</w:t>
      </w:r>
      <w:r w:rsidRPr="00680337">
        <w:rPr>
          <w:rFonts w:ascii="仿宋_GB2312" w:hAnsi="仿宋"/>
          <w:szCs w:val="32"/>
        </w:rPr>
        <w:t>.10</w:t>
      </w:r>
      <w:r w:rsidRPr="00680337">
        <w:rPr>
          <w:rFonts w:ascii="仿宋_GB2312" w:hAnsi="仿宋" w:hint="eastAsia"/>
          <w:szCs w:val="32"/>
        </w:rPr>
        <w:t>小时/户；预安排停电时间0.48小时/户，同比减少0</w:t>
      </w:r>
      <w:r w:rsidRPr="00680337">
        <w:rPr>
          <w:rFonts w:ascii="仿宋_GB2312" w:hAnsi="仿宋"/>
          <w:szCs w:val="32"/>
        </w:rPr>
        <w:t>.79</w:t>
      </w:r>
      <w:r w:rsidRPr="00680337">
        <w:rPr>
          <w:rFonts w:ascii="仿宋_GB2312" w:hAnsi="仿宋" w:hint="eastAsia"/>
          <w:szCs w:val="32"/>
        </w:rPr>
        <w:t>小时/户</w:t>
      </w:r>
      <w:r w:rsidR="0089287B">
        <w:rPr>
          <w:rFonts w:ascii="仿宋_GB2312" w:hAnsi="仿宋" w:hint="eastAsia"/>
          <w:szCs w:val="32"/>
        </w:rPr>
        <w:t>。</w:t>
      </w:r>
      <w:r w:rsidRPr="00680337">
        <w:rPr>
          <w:rFonts w:ascii="仿宋_GB2312" w:hAnsi="仿宋" w:hint="eastAsia"/>
          <w:szCs w:val="32"/>
        </w:rPr>
        <w:t>平均停电频率0.44次/户，同比减少0</w:t>
      </w:r>
      <w:r w:rsidRPr="00680337">
        <w:rPr>
          <w:rFonts w:ascii="仿宋_GB2312" w:hAnsi="仿宋"/>
          <w:szCs w:val="32"/>
        </w:rPr>
        <w:t>.12</w:t>
      </w:r>
      <w:r w:rsidRPr="00680337">
        <w:rPr>
          <w:rFonts w:ascii="仿宋_GB2312" w:hAnsi="仿宋" w:hint="eastAsia"/>
          <w:szCs w:val="32"/>
        </w:rPr>
        <w:t>次/户，其中故障停电频率0.35次/户，同比减少0</w:t>
      </w:r>
      <w:r w:rsidRPr="00680337">
        <w:rPr>
          <w:rFonts w:ascii="仿宋_GB2312" w:hAnsi="仿宋"/>
          <w:szCs w:val="32"/>
        </w:rPr>
        <w:t>.02</w:t>
      </w:r>
      <w:r w:rsidRPr="00680337">
        <w:rPr>
          <w:rFonts w:ascii="仿宋_GB2312" w:hAnsi="仿宋" w:hint="eastAsia"/>
          <w:szCs w:val="32"/>
        </w:rPr>
        <w:t>次/户；预安排停电频率0.09次/户，同比减少0</w:t>
      </w:r>
      <w:r w:rsidRPr="00680337">
        <w:rPr>
          <w:rFonts w:ascii="仿宋_GB2312" w:hAnsi="仿宋"/>
          <w:szCs w:val="32"/>
        </w:rPr>
        <w:t>.10</w:t>
      </w:r>
      <w:r w:rsidRPr="00680337">
        <w:rPr>
          <w:rFonts w:ascii="仿宋_GB2312" w:hAnsi="仿宋" w:hint="eastAsia"/>
          <w:szCs w:val="32"/>
        </w:rPr>
        <w:t>次/户。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2020年一季度，城市平均供电可靠率为99.9756%，同比上升0</w:t>
      </w:r>
      <w:r w:rsidRPr="00680337">
        <w:rPr>
          <w:rFonts w:ascii="仿宋_GB2312" w:hAnsi="仿宋"/>
          <w:szCs w:val="32"/>
        </w:rPr>
        <w:t>.0101</w:t>
      </w:r>
      <w:r w:rsidRPr="00680337">
        <w:rPr>
          <w:rFonts w:ascii="仿宋_GB2312" w:hAnsi="仿宋" w:hint="eastAsia"/>
          <w:szCs w:val="32"/>
        </w:rPr>
        <w:t>个百分点；平均停电时间0.53小时/户，同比减少0</w:t>
      </w:r>
      <w:r w:rsidRPr="00680337">
        <w:rPr>
          <w:rFonts w:ascii="仿宋_GB2312" w:hAnsi="仿宋"/>
          <w:szCs w:val="32"/>
        </w:rPr>
        <w:t>.22</w:t>
      </w:r>
      <w:r w:rsidRPr="00680337">
        <w:rPr>
          <w:rFonts w:ascii="仿宋_GB2312" w:hAnsi="仿宋" w:hint="eastAsia"/>
          <w:szCs w:val="32"/>
        </w:rPr>
        <w:t>小时/户；平均停电频率0.16次/户，同比减少0</w:t>
      </w:r>
      <w:r w:rsidRPr="00680337">
        <w:rPr>
          <w:rFonts w:ascii="仿宋_GB2312" w:hAnsi="仿宋"/>
          <w:szCs w:val="32"/>
        </w:rPr>
        <w:t>.03</w:t>
      </w:r>
      <w:r w:rsidRPr="00680337">
        <w:rPr>
          <w:rFonts w:ascii="仿宋_GB2312" w:hAnsi="仿宋" w:hint="eastAsia"/>
          <w:szCs w:val="32"/>
        </w:rPr>
        <w:t>次/户。农村平均供电可靠率为99.</w:t>
      </w:r>
      <w:r w:rsidRPr="00680337">
        <w:rPr>
          <w:rFonts w:ascii="仿宋_GB2312" w:hAnsi="仿宋"/>
          <w:szCs w:val="32"/>
        </w:rPr>
        <w:t>9159</w:t>
      </w:r>
      <w:r w:rsidRPr="00680337">
        <w:rPr>
          <w:rFonts w:ascii="仿宋_GB2312" w:hAnsi="仿宋" w:hint="eastAsia"/>
          <w:szCs w:val="32"/>
        </w:rPr>
        <w:t>%，同比上升0</w:t>
      </w:r>
      <w:r w:rsidRPr="00680337">
        <w:rPr>
          <w:rFonts w:ascii="仿宋_GB2312" w:hAnsi="仿宋"/>
          <w:szCs w:val="32"/>
        </w:rPr>
        <w:t>.0530</w:t>
      </w:r>
      <w:r w:rsidRPr="00680337">
        <w:rPr>
          <w:rFonts w:ascii="仿宋_GB2312" w:hAnsi="仿宋" w:hint="eastAsia"/>
          <w:szCs w:val="32"/>
        </w:rPr>
        <w:t>个百分点；平均停电时间1.84小时/户，同比减少</w:t>
      </w:r>
      <w:r w:rsidRPr="00680337">
        <w:rPr>
          <w:rFonts w:ascii="仿宋_GB2312" w:hAnsi="仿宋"/>
          <w:szCs w:val="32"/>
        </w:rPr>
        <w:t>1.12</w:t>
      </w:r>
      <w:r w:rsidRPr="00680337">
        <w:rPr>
          <w:rFonts w:ascii="仿宋_GB2312" w:hAnsi="仿宋" w:hint="eastAsia"/>
          <w:szCs w:val="32"/>
        </w:rPr>
        <w:t>小时/户；</w:t>
      </w:r>
      <w:bookmarkStart w:id="1" w:name="_GoBack"/>
      <w:bookmarkEnd w:id="1"/>
      <w:r w:rsidRPr="00680337">
        <w:rPr>
          <w:rFonts w:ascii="仿宋_GB2312" w:hAnsi="仿宋" w:hint="eastAsia"/>
          <w:szCs w:val="32"/>
        </w:rPr>
        <w:t>平均停电频率0.54次/户，同比减少0</w:t>
      </w:r>
      <w:r w:rsidRPr="00680337">
        <w:rPr>
          <w:rFonts w:ascii="仿宋_GB2312" w:hAnsi="仿宋"/>
          <w:szCs w:val="32"/>
        </w:rPr>
        <w:t>.15</w:t>
      </w:r>
      <w:r w:rsidRPr="00680337">
        <w:rPr>
          <w:rFonts w:ascii="仿宋_GB2312" w:hAnsi="仿宋" w:hint="eastAsia"/>
          <w:szCs w:val="32"/>
        </w:rPr>
        <w:t xml:space="preserve">次/户。 </w:t>
      </w:r>
    </w:p>
    <w:p w:rsidR="005D1E63" w:rsidRPr="00680337" w:rsidRDefault="00965358" w:rsidP="00680337">
      <w:pPr>
        <w:adjustRightInd w:val="0"/>
        <w:snapToGrid w:val="0"/>
        <w:spacing w:line="600" w:lineRule="exact"/>
        <w:ind w:firstLine="648"/>
        <w:rPr>
          <w:rFonts w:ascii="仿宋_GB2312" w:hAnsi="仿宋"/>
          <w:szCs w:val="32"/>
        </w:rPr>
      </w:pPr>
      <w:r w:rsidRPr="00680337">
        <w:rPr>
          <w:rFonts w:ascii="仿宋_GB2312" w:hAnsi="仿宋" w:hint="eastAsia"/>
          <w:szCs w:val="32"/>
        </w:rPr>
        <w:t>2020年一季度各网公司、省（区、市）电力公司的供电可靠性指标见附表4。</w:t>
      </w:r>
    </w:p>
    <w:p w:rsidR="005D1E63" w:rsidRDefault="005D1E63">
      <w:pPr>
        <w:tabs>
          <w:tab w:val="left" w:pos="645"/>
        </w:tabs>
        <w:spacing w:line="360" w:lineRule="auto"/>
        <w:ind w:firstLineChars="200" w:firstLine="560"/>
        <w:rPr>
          <w:rFonts w:ascii="宋体" w:hAnsi="宋体"/>
          <w:sz w:val="28"/>
          <w:szCs w:val="28"/>
        </w:rPr>
        <w:sectPr w:rsidR="005D1E63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5D1E63" w:rsidRDefault="00965358">
      <w:pPr>
        <w:outlineLvl w:val="0"/>
        <w:rPr>
          <w:rFonts w:ascii="宋体" w:hAnsi="宋体"/>
          <w:sz w:val="28"/>
          <w:szCs w:val="28"/>
        </w:rPr>
      </w:pPr>
      <w:r>
        <w:rPr>
          <w:rFonts w:ascii="黑体" w:eastAsia="黑体" w:hAnsi="黑体" w:cs="宋体-18030" w:hint="eastAsia"/>
          <w:sz w:val="30"/>
          <w:szCs w:val="30"/>
        </w:rPr>
        <w:lastRenderedPageBreak/>
        <w:t>附表1：</w:t>
      </w:r>
    </w:p>
    <w:p w:rsidR="005D1E63" w:rsidRDefault="00965358">
      <w:pPr>
        <w:jc w:val="center"/>
        <w:rPr>
          <w:rFonts w:ascii="方正小标宋简体" w:eastAsia="方正小标宋简体" w:hAnsi="华文中宋" w:cs="宋体-18030"/>
          <w:szCs w:val="32"/>
        </w:rPr>
      </w:pPr>
      <w:r>
        <w:rPr>
          <w:rFonts w:ascii="方正小标宋简体" w:eastAsia="方正小标宋简体" w:hAnsi="华文中宋" w:cs="宋体-18030" w:hint="eastAsia"/>
          <w:szCs w:val="32"/>
        </w:rPr>
        <w:t xml:space="preserve">2020年一季度全国主要容量等级燃煤火电机组运行可靠性综合指标                                                                                                             </w:t>
      </w:r>
    </w:p>
    <w:tbl>
      <w:tblPr>
        <w:tblW w:w="13771" w:type="dxa"/>
        <w:jc w:val="center"/>
        <w:tblLook w:val="04A0" w:firstRow="1" w:lastRow="0" w:firstColumn="1" w:lastColumn="0" w:noHBand="0" w:noVBand="1"/>
      </w:tblPr>
      <w:tblGrid>
        <w:gridCol w:w="1438"/>
        <w:gridCol w:w="879"/>
        <w:gridCol w:w="851"/>
        <w:gridCol w:w="850"/>
        <w:gridCol w:w="1134"/>
        <w:gridCol w:w="1134"/>
        <w:gridCol w:w="1134"/>
        <w:gridCol w:w="992"/>
        <w:gridCol w:w="993"/>
        <w:gridCol w:w="992"/>
        <w:gridCol w:w="1134"/>
        <w:gridCol w:w="992"/>
        <w:gridCol w:w="1248"/>
      </w:tblGrid>
      <w:tr w:rsidR="005D1E63">
        <w:trPr>
          <w:trHeight w:val="522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 w:hint="eastAsia"/>
                <w:color w:val="000000"/>
                <w:kern w:val="0"/>
                <w:sz w:val="18"/>
                <w:szCs w:val="18"/>
              </w:rPr>
              <w:t>容量等级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利用小时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UTH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可用小时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不可用小时及次数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spacing w:val="-20"/>
                <w:kern w:val="0"/>
                <w:sz w:val="18"/>
                <w:szCs w:val="18"/>
              </w:rPr>
              <w:t>降低出力等效停运小时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EUNDH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等效可用系数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EAF(%)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等效强迫停运率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EFOR(%)</w:t>
            </w:r>
          </w:p>
        </w:tc>
      </w:tr>
      <w:tr w:rsidR="005D1E63">
        <w:trPr>
          <w:trHeight w:val="52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运行小时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SH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备用小时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RH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计划停运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非计划停运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强迫停运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5D1E63">
        <w:trPr>
          <w:trHeight w:val="52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次数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POT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POH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次数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UOT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UOH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次数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FOT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FOH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5D1E63">
        <w:trPr>
          <w:trHeight w:val="522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200MW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1030.77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1635.41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423.19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26.97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98.19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0.67</w:t>
            </w:r>
          </w:p>
        </w:tc>
      </w:tr>
      <w:tr w:rsidR="005D1E63">
        <w:trPr>
          <w:trHeight w:val="522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300MW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1023.27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1609.71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515.34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43.59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10.78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7.65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97.48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0.51</w:t>
            </w:r>
          </w:p>
        </w:tc>
      </w:tr>
      <w:tr w:rsidR="005D1E63">
        <w:trPr>
          <w:trHeight w:val="522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600MW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875.02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1393.86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708.89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63.63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5.57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3.91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96.78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0.32</w:t>
            </w:r>
          </w:p>
        </w:tc>
      </w:tr>
      <w:tr w:rsidR="005D1E63">
        <w:trPr>
          <w:trHeight w:val="522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1000MW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843.38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1303.58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739.97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139.56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93.57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0.07</w:t>
            </w:r>
          </w:p>
        </w:tc>
      </w:tr>
      <w:tr w:rsidR="005D1E63">
        <w:trPr>
          <w:trHeight w:val="522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全部机组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933.31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spacing w:line="330" w:lineRule="atLeast"/>
              <w:jc w:val="center"/>
              <w:rPr>
                <w:rFonts w:eastAsia="宋体"/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1469.17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spacing w:line="330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629.85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65.88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96.62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0.39</w:t>
            </w:r>
          </w:p>
        </w:tc>
      </w:tr>
    </w:tbl>
    <w:p w:rsidR="005D1E63" w:rsidRDefault="005D1E63">
      <w:pPr>
        <w:rPr>
          <w:rFonts w:ascii="黑体" w:eastAsia="黑体" w:hAnsi="黑体" w:cs="宋体-18030"/>
          <w:sz w:val="30"/>
          <w:szCs w:val="30"/>
        </w:rPr>
      </w:pPr>
    </w:p>
    <w:p w:rsidR="005D1E63" w:rsidRDefault="005D1E63">
      <w:pPr>
        <w:rPr>
          <w:rFonts w:ascii="黑体" w:eastAsia="黑体" w:hAnsi="黑体" w:cs="宋体-18030"/>
          <w:sz w:val="30"/>
          <w:szCs w:val="30"/>
          <w:highlight w:val="yellow"/>
        </w:rPr>
      </w:pPr>
    </w:p>
    <w:p w:rsidR="005D1E63" w:rsidRDefault="005D1E63">
      <w:pPr>
        <w:rPr>
          <w:rFonts w:ascii="黑体" w:eastAsia="黑体" w:hAnsi="黑体" w:cs="宋体-18030"/>
          <w:sz w:val="30"/>
          <w:szCs w:val="30"/>
          <w:highlight w:val="yellow"/>
        </w:rPr>
      </w:pPr>
    </w:p>
    <w:p w:rsidR="005D1E63" w:rsidRDefault="005D1E63">
      <w:pPr>
        <w:rPr>
          <w:rFonts w:ascii="黑体" w:eastAsia="黑体" w:hAnsi="黑体" w:cs="宋体-18030"/>
          <w:sz w:val="30"/>
          <w:szCs w:val="30"/>
          <w:highlight w:val="yellow"/>
        </w:rPr>
      </w:pPr>
    </w:p>
    <w:p w:rsidR="005D1E63" w:rsidRDefault="005D1E63">
      <w:pPr>
        <w:rPr>
          <w:rFonts w:ascii="黑体" w:eastAsia="黑体" w:hAnsi="黑体" w:cs="宋体-18030"/>
          <w:sz w:val="30"/>
          <w:szCs w:val="30"/>
          <w:highlight w:val="yellow"/>
        </w:rPr>
      </w:pPr>
    </w:p>
    <w:p w:rsidR="005D1E63" w:rsidRDefault="005D1E63">
      <w:pPr>
        <w:rPr>
          <w:rFonts w:ascii="黑体" w:eastAsia="黑体" w:hAnsi="黑体" w:cs="宋体-18030"/>
          <w:sz w:val="30"/>
          <w:szCs w:val="30"/>
          <w:highlight w:val="yellow"/>
        </w:rPr>
      </w:pPr>
    </w:p>
    <w:p w:rsidR="005D1E63" w:rsidRDefault="00965358">
      <w:pPr>
        <w:outlineLvl w:val="0"/>
        <w:rPr>
          <w:rFonts w:ascii="宋体" w:hAnsi="宋体"/>
          <w:sz w:val="28"/>
          <w:szCs w:val="28"/>
        </w:rPr>
      </w:pPr>
      <w:r>
        <w:rPr>
          <w:rFonts w:ascii="黑体" w:eastAsia="黑体" w:hAnsi="黑体" w:cs="宋体-18030" w:hint="eastAsia"/>
          <w:sz w:val="30"/>
          <w:szCs w:val="30"/>
        </w:rPr>
        <w:lastRenderedPageBreak/>
        <w:t>附表2：</w:t>
      </w:r>
    </w:p>
    <w:p w:rsidR="005D1E63" w:rsidRDefault="00965358">
      <w:pPr>
        <w:jc w:val="center"/>
        <w:rPr>
          <w:rFonts w:ascii="方正小标宋简体" w:eastAsia="方正小标宋简体" w:hAnsi="宋体" w:cs="宋体-18030"/>
          <w:szCs w:val="32"/>
        </w:rPr>
      </w:pPr>
      <w:r>
        <w:rPr>
          <w:rFonts w:ascii="方正小标宋简体" w:eastAsia="方正小标宋简体" w:hAnsi="华文中宋" w:cs="宋体-18030" w:hint="eastAsia"/>
          <w:szCs w:val="32"/>
        </w:rPr>
        <w:t>2020年一季度全国主要容量</w:t>
      </w:r>
      <w:r>
        <w:rPr>
          <w:rFonts w:ascii="方正小标宋简体" w:eastAsia="方正小标宋简体" w:hAnsi="华文中宋" w:cs="宋体-18030"/>
          <w:szCs w:val="32"/>
        </w:rPr>
        <w:t>等级</w:t>
      </w:r>
      <w:r>
        <w:rPr>
          <w:rFonts w:ascii="方正小标宋简体" w:eastAsia="方正小标宋简体" w:hAnsi="华文中宋" w:cs="宋体-18030" w:hint="eastAsia"/>
          <w:szCs w:val="32"/>
        </w:rPr>
        <w:t xml:space="preserve">常规水电机组运行可靠性综合指标                                                          </w:t>
      </w:r>
    </w:p>
    <w:tbl>
      <w:tblPr>
        <w:tblW w:w="14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392"/>
        <w:gridCol w:w="771"/>
        <w:gridCol w:w="848"/>
        <w:gridCol w:w="849"/>
        <w:gridCol w:w="939"/>
        <w:gridCol w:w="1061"/>
        <w:gridCol w:w="1060"/>
        <w:gridCol w:w="992"/>
        <w:gridCol w:w="993"/>
        <w:gridCol w:w="992"/>
        <w:gridCol w:w="1243"/>
        <w:gridCol w:w="826"/>
        <w:gridCol w:w="946"/>
      </w:tblGrid>
      <w:tr w:rsidR="005D1E63">
        <w:trPr>
          <w:trHeight w:val="522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容量等级</w:t>
            </w:r>
          </w:p>
        </w:tc>
        <w:tc>
          <w:tcPr>
            <w:tcW w:w="1392" w:type="dxa"/>
            <w:vMerge w:val="restart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机组类别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利用小时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UTH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可用小时</w:t>
            </w:r>
          </w:p>
        </w:tc>
        <w:tc>
          <w:tcPr>
            <w:tcW w:w="6037" w:type="dxa"/>
            <w:gridSpan w:val="6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不可用小时及次数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降低出力等效停运小时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EUNDH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等效可用系数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EAF(%)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等效强迫停运率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EFOR(%)</w:t>
            </w:r>
          </w:p>
        </w:tc>
      </w:tr>
      <w:tr w:rsidR="005D1E63">
        <w:trPr>
          <w:trHeight w:val="522"/>
          <w:jc w:val="center"/>
        </w:trPr>
        <w:tc>
          <w:tcPr>
            <w:tcW w:w="1275" w:type="dxa"/>
            <w:vMerge/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运行小时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SH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备用小时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RH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计划停运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非计划停运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强迫停运</w:t>
            </w:r>
          </w:p>
        </w:tc>
        <w:tc>
          <w:tcPr>
            <w:tcW w:w="1243" w:type="dxa"/>
            <w:vMerge/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Merge/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5D1E63">
        <w:trPr>
          <w:trHeight w:val="522"/>
          <w:jc w:val="center"/>
        </w:trPr>
        <w:tc>
          <w:tcPr>
            <w:tcW w:w="1275" w:type="dxa"/>
            <w:vMerge/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次数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POT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POH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次数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UOT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UOH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次数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FOT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小时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FOH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5D1E63">
        <w:trPr>
          <w:trHeight w:val="522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40-99MW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水电轴流机组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692.47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890.84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1056.86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236.14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89.18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D1E63">
        <w:trPr>
          <w:trHeight w:val="522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5D1E6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水电混流机组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556.27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837.42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1187.48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153.37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92.95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5D1E63">
        <w:trPr>
          <w:trHeight w:val="522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100-199MW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水电轴流机组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950.13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1239.85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647.13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237.32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88.83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D1E63">
        <w:trPr>
          <w:trHeight w:val="522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5D1E6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水电混流机组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518.52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744.21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1289.34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150.34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93.11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D1E63">
        <w:trPr>
          <w:trHeight w:val="522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200-299MW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水电轴流机组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609.05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970.12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791.14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185.92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90.45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D1E63">
        <w:trPr>
          <w:trHeight w:val="522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5D1E6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水电混流机组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702.75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971.84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1019.62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192.06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91.18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5D1E63">
        <w:trPr>
          <w:trHeight w:val="522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300-699MW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水电混流机组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676.68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1031.07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954.63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198.03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90.92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5D1E63">
        <w:trPr>
          <w:trHeight w:val="522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700-750MW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水电混流机组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735.02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901.59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1045.28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149.53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92.87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D1E63">
        <w:trPr>
          <w:trHeight w:val="522"/>
          <w:jc w:val="center"/>
        </w:trPr>
        <w:tc>
          <w:tcPr>
            <w:tcW w:w="2667" w:type="dxa"/>
            <w:gridSpan w:val="2"/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全部机组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687.29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953.98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1019.78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178.26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91.71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63" w:rsidRDefault="00965358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</w:tbl>
    <w:p w:rsidR="005D1E63" w:rsidRDefault="005D1E63">
      <w:pPr>
        <w:snapToGrid w:val="0"/>
        <w:spacing w:line="420" w:lineRule="auto"/>
        <w:ind w:firstLine="601"/>
        <w:rPr>
          <w:rFonts w:ascii="黑体" w:eastAsia="黑体" w:hAnsi="黑体"/>
          <w:color w:val="000000"/>
          <w:sz w:val="30"/>
          <w:szCs w:val="30"/>
        </w:rPr>
      </w:pPr>
    </w:p>
    <w:p w:rsidR="005D1E63" w:rsidRDefault="00965358">
      <w:pPr>
        <w:snapToGrid w:val="0"/>
        <w:spacing w:line="420" w:lineRule="auto"/>
        <w:ind w:firstLine="601"/>
        <w:outlineLvl w:val="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lastRenderedPageBreak/>
        <w:t>附表3：</w:t>
      </w:r>
    </w:p>
    <w:p w:rsidR="005D1E63" w:rsidRDefault="00965358">
      <w:pPr>
        <w:snapToGrid w:val="0"/>
        <w:jc w:val="center"/>
        <w:rPr>
          <w:rFonts w:ascii="方正小标宋简体" w:eastAsia="方正小标宋简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 </w:t>
      </w:r>
      <w:r>
        <w:rPr>
          <w:rFonts w:ascii="方正小标宋简体" w:eastAsia="方正小标宋简体" w:hAnsi="黑体" w:cs="黑体" w:hint="eastAsia"/>
          <w:szCs w:val="32"/>
        </w:rPr>
        <w:t xml:space="preserve"> 2020年一季度全国220千伏及以上电压等级架空线路、变压器、断路器等</w:t>
      </w:r>
    </w:p>
    <w:p w:rsidR="005D1E63" w:rsidRDefault="00965358">
      <w:pPr>
        <w:snapToGrid w:val="0"/>
        <w:jc w:val="center"/>
        <w:rPr>
          <w:rFonts w:ascii="方正小标宋简体" w:eastAsia="方正小标宋简体" w:hAnsi="黑体" w:cs="黑体"/>
          <w:szCs w:val="32"/>
        </w:rPr>
      </w:pPr>
      <w:r>
        <w:rPr>
          <w:rFonts w:ascii="方正小标宋简体" w:eastAsia="方正小标宋简体" w:hAnsi="黑体" w:cs="黑体" w:hint="eastAsia"/>
          <w:szCs w:val="32"/>
        </w:rPr>
        <w:t>13类输变电设施可靠性综合指标</w:t>
      </w:r>
    </w:p>
    <w:p w:rsidR="005D1E63" w:rsidRDefault="005D1E63">
      <w:pPr>
        <w:snapToGrid w:val="0"/>
        <w:jc w:val="center"/>
        <w:rPr>
          <w:rFonts w:ascii="方正小标宋简体" w:eastAsia="方正小标宋简体" w:hAnsi="黑体" w:cs="黑体"/>
          <w:szCs w:val="32"/>
        </w:rPr>
      </w:pPr>
    </w:p>
    <w:tbl>
      <w:tblPr>
        <w:tblW w:w="499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886"/>
        <w:gridCol w:w="1405"/>
        <w:gridCol w:w="1481"/>
        <w:gridCol w:w="1171"/>
        <w:gridCol w:w="1171"/>
        <w:gridCol w:w="1573"/>
        <w:gridCol w:w="1171"/>
        <w:gridCol w:w="1171"/>
        <w:gridCol w:w="1171"/>
        <w:gridCol w:w="1171"/>
      </w:tblGrid>
      <w:tr w:rsidR="005D1E63">
        <w:trPr>
          <w:trHeight w:val="90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设施类型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电压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等级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(千伏)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设施总数/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线路全长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*1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统计百台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(段、千米)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年数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强迫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停运率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*2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可用系数（%）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连续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可用小时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(小时/次)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非计划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停运次数(次)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非计划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停运时间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*3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计停次数(次)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计停时间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br/>
              <w:t>*3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架空线路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8343.661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2077.626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99.737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107663.385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2.402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架空线路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4921.948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1225.285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99.691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112737.979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1.288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架空线路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313.704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77.819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99.923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386474.146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1.684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架空线路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8.458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2.109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4368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架空线路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2344.517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584.198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99.896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74028.723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1.859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架空线路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26.667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6.649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4180.220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架空线路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212.712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53.032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99.782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366599.818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4.767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架空线路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402.277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100.294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86796.660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架空线路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113.378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28.240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96.852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26777.550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68.749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18999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47.300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99.869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84243.221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2.852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lastRenderedPageBreak/>
              <w:t>变压器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12352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30.774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99.914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94508.956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1.873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1.274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1.570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99.357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42636.132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14.001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5560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13.82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99.812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88201.390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4.095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13104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0.890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779688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72072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99.707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9968.962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6.409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电抗器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4009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9.968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99.971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135148.801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0.632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电抗器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460366.182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电抗器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0.577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505130.983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电抗器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2736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6.794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99.963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313140.051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0.802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电抗器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1.371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1201200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电抗器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104832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电抗器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0.581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99.933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12107.895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1.461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48782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121.453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99.965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294628.528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0.769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38292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95.395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99.980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330234.408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0.431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5.084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556657.348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0.110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7890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19.592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99.879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171415.801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2.641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lastRenderedPageBreak/>
              <w:t>断路器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1.152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0.868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1009526.683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69222.965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0.151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132570.300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143362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357.317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630185.957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0.195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118429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295.353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600248.279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0.191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3939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9.821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99.966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573324.839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0.737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20663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51.359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937257.313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0.120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255528.000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0.261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228911.867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0.231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202476.000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电压互感器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90251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224.900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99.983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543640.984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0.349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电压互感器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61214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152.557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651846.656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0.188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电压互感器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5222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13.009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99.982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1424269.910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0.383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电压互感器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21918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54.599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99.961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348976.767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0.778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电压互感器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3.270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2864299.750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电压互感器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54600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电压互感器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1.403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99.921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111642.280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1.726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169301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421.600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99.988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1003935.101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0.257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lastRenderedPageBreak/>
              <w:t>隔离开关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143676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357.894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1201153.891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0.101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4491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11.197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99.945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445587.958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1.204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19763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49.137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99.945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531119.418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1.197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2.943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2578195.167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229901.814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隔离开关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0.166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145255.867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避雷器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152811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380.451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99.982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604913.682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0.383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避雷器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119161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296.919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99.986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689825.544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0.310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避雷器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5083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12.670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99.937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462169.288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1.384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避雷器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25653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63.810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99.976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423366.367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0.531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避雷器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2184.000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避雷器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4.516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1.107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791248.437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避雷器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0.890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779899.214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避雷器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1.642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99.941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143773.183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1.297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耦合电容器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8272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20.663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1428093.817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0.037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耦合电容器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7780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19.444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1892540.547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0.039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耦合电容器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0.309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270816.000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耦合电容器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0.855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749112.000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lastRenderedPageBreak/>
              <w:t>耦合电容器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6552.000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耦合电容器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41427.971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阻波器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14543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36.361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3267636.064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0.117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阻波器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11597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28.992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25397435.556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阻波器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1.702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1490845.000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阻波器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2266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5.657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99.966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825620.583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0.749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阻波器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8736.000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电缆线路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66.236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16.500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98.162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283069.813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0.106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电缆线路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64.715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16.121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98.133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358741.085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0.108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电缆线路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电缆线路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1.521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99.370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168168.000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电缆线路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组合电器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7284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14.868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37376.111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0.090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组合电器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4819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9.620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31562.471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0.058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组合电器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42331.386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0.115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组合电器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2171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4.564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99.993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90852.016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0.147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组合电器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78624.000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组合电器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0.160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99.985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4991.254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0.326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lastRenderedPageBreak/>
              <w:t>母线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13248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32.993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0.303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99.975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389160.629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0.203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0.341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母线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10971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27.35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99.979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544394.183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0.229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0.233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母线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0.845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2.366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99.977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370101.917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母线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4.448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99.950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155766.136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1.100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母线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190008.000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母线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69683.910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1E63">
        <w:trPr>
          <w:trHeight w:val="380"/>
          <w:jc w:val="center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母线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47712.983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D1E63" w:rsidRDefault="00965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5D1E63" w:rsidRDefault="005D1E63">
      <w:pPr>
        <w:autoSpaceDE w:val="0"/>
        <w:autoSpaceDN w:val="0"/>
        <w:adjustRightInd w:val="0"/>
        <w:jc w:val="left"/>
        <w:rPr>
          <w:rFonts w:ascii="楷体_GB2312" w:eastAsia="楷体_GB2312" w:cs="妤蜂綋_GB2312"/>
          <w:kern w:val="0"/>
          <w:sz w:val="21"/>
          <w:szCs w:val="21"/>
        </w:rPr>
      </w:pPr>
    </w:p>
    <w:p w:rsidR="005D1E63" w:rsidRDefault="00965358">
      <w:pPr>
        <w:autoSpaceDE w:val="0"/>
        <w:autoSpaceDN w:val="0"/>
        <w:adjustRightInd w:val="0"/>
        <w:ind w:firstLineChars="200" w:firstLine="420"/>
        <w:jc w:val="left"/>
        <w:rPr>
          <w:rFonts w:ascii="楷体_GB2312" w:eastAsia="楷体_GB2312" w:cs="妤蜂綋_GB2312"/>
          <w:kern w:val="0"/>
          <w:sz w:val="21"/>
          <w:szCs w:val="21"/>
        </w:rPr>
      </w:pPr>
      <w:r>
        <w:rPr>
          <w:rFonts w:ascii="楷体_GB2312" w:eastAsia="楷体_GB2312" w:cs="妤蜂綋_GB2312" w:hint="eastAsia"/>
          <w:kern w:val="0"/>
          <w:sz w:val="21"/>
          <w:szCs w:val="21"/>
        </w:rPr>
        <w:t>注：*1 架空线路、电缆线路单位为：百千米；其它设备单位为：台（套、段）；</w:t>
      </w:r>
    </w:p>
    <w:p w:rsidR="005D1E63" w:rsidRDefault="00965358">
      <w:pPr>
        <w:autoSpaceDE w:val="0"/>
        <w:autoSpaceDN w:val="0"/>
        <w:adjustRightInd w:val="0"/>
        <w:ind w:left="420" w:firstLineChars="200" w:firstLine="420"/>
        <w:jc w:val="left"/>
        <w:rPr>
          <w:rFonts w:ascii="楷体_GB2312" w:eastAsia="楷体_GB2312" w:hAnsi="æ¥·ä½“_GB2312" w:cs="æ¥·ä½“_GB2312"/>
          <w:kern w:val="0"/>
          <w:sz w:val="21"/>
          <w:szCs w:val="21"/>
        </w:rPr>
      </w:pPr>
      <w:r>
        <w:rPr>
          <w:rFonts w:ascii="楷体_GB2312" w:eastAsia="楷体_GB2312" w:hAnsi="æ¥·ä½“_GB2312" w:cs="æ¥·ä½“_GB2312" w:hint="eastAsia"/>
          <w:kern w:val="0"/>
          <w:sz w:val="21"/>
          <w:szCs w:val="21"/>
        </w:rPr>
        <w:t>*2 电缆线路单位为次/千米年，其它设备单位为次/百千米（台、套、段）年；</w:t>
      </w:r>
    </w:p>
    <w:p w:rsidR="005D1E63" w:rsidRDefault="00965358">
      <w:pPr>
        <w:autoSpaceDE w:val="0"/>
        <w:autoSpaceDN w:val="0"/>
        <w:adjustRightInd w:val="0"/>
        <w:ind w:left="420" w:firstLineChars="200" w:firstLine="420"/>
        <w:jc w:val="left"/>
        <w:rPr>
          <w:rFonts w:ascii="楷体_GB2312" w:eastAsia="楷体_GB2312" w:hAnsi="æ¥·ä½“_GB2312" w:cs="æ¥·ä½“_GB2312"/>
          <w:kern w:val="0"/>
          <w:sz w:val="21"/>
          <w:szCs w:val="21"/>
        </w:rPr>
      </w:pPr>
      <w:r>
        <w:rPr>
          <w:rFonts w:ascii="楷体_GB2312" w:eastAsia="楷体_GB2312" w:hAnsi="æ¥·ä½“_GB2312" w:cs="æ¥·ä½“_GB2312" w:hint="eastAsia"/>
          <w:kern w:val="0"/>
          <w:sz w:val="21"/>
          <w:szCs w:val="21"/>
        </w:rPr>
        <w:t>*3 架空线路单位为小时/百千米年，其它设备单位为小时/千米（台、套、段）年；</w:t>
      </w:r>
    </w:p>
    <w:p w:rsidR="005D1E63" w:rsidRDefault="005D1E63">
      <w:pPr>
        <w:autoSpaceDE w:val="0"/>
        <w:autoSpaceDN w:val="0"/>
        <w:adjustRightInd w:val="0"/>
        <w:ind w:left="420" w:firstLineChars="200" w:firstLine="420"/>
        <w:jc w:val="left"/>
        <w:rPr>
          <w:rFonts w:ascii="楷体_GB2312" w:eastAsia="楷体_GB2312" w:hAnsi="æ¥·ä½“_GB2312" w:cs="æ¥·ä½“_GB2312"/>
          <w:kern w:val="0"/>
          <w:sz w:val="21"/>
          <w:szCs w:val="21"/>
        </w:rPr>
      </w:pPr>
    </w:p>
    <w:p w:rsidR="005D1E63" w:rsidRDefault="005D1E63">
      <w:pPr>
        <w:autoSpaceDE w:val="0"/>
        <w:autoSpaceDN w:val="0"/>
        <w:adjustRightInd w:val="0"/>
        <w:ind w:left="420" w:firstLineChars="200" w:firstLine="420"/>
        <w:jc w:val="left"/>
        <w:rPr>
          <w:rFonts w:ascii="楷体_GB2312" w:eastAsia="楷体_GB2312" w:hAnsi="æ¥·ä½“_GB2312" w:cs="æ¥·ä½“_GB2312"/>
          <w:kern w:val="0"/>
          <w:sz w:val="21"/>
          <w:szCs w:val="21"/>
        </w:rPr>
      </w:pPr>
    </w:p>
    <w:p w:rsidR="005D1E63" w:rsidRDefault="005D1E63">
      <w:pPr>
        <w:autoSpaceDE w:val="0"/>
        <w:autoSpaceDN w:val="0"/>
        <w:adjustRightInd w:val="0"/>
        <w:ind w:left="420" w:firstLineChars="200" w:firstLine="420"/>
        <w:jc w:val="left"/>
        <w:rPr>
          <w:rFonts w:ascii="楷体_GB2312" w:eastAsia="楷体_GB2312" w:hAnsi="æ¥·ä½“_GB2312" w:cs="æ¥·ä½“_GB2312"/>
          <w:kern w:val="0"/>
          <w:sz w:val="21"/>
          <w:szCs w:val="21"/>
        </w:rPr>
      </w:pPr>
    </w:p>
    <w:p w:rsidR="005D1E63" w:rsidRDefault="005D1E63">
      <w:pPr>
        <w:autoSpaceDE w:val="0"/>
        <w:autoSpaceDN w:val="0"/>
        <w:adjustRightInd w:val="0"/>
        <w:ind w:left="420" w:firstLineChars="200" w:firstLine="420"/>
        <w:jc w:val="left"/>
        <w:rPr>
          <w:rFonts w:ascii="楷体_GB2312" w:eastAsia="楷体_GB2312" w:hAnsi="æ¥·ä½“_GB2312" w:cs="æ¥·ä½“_GB2312"/>
          <w:kern w:val="0"/>
          <w:sz w:val="21"/>
          <w:szCs w:val="21"/>
        </w:rPr>
      </w:pPr>
    </w:p>
    <w:p w:rsidR="005D1E63" w:rsidRDefault="005D1E63">
      <w:pPr>
        <w:autoSpaceDE w:val="0"/>
        <w:autoSpaceDN w:val="0"/>
        <w:adjustRightInd w:val="0"/>
        <w:ind w:left="420" w:firstLineChars="200" w:firstLine="420"/>
        <w:jc w:val="left"/>
        <w:rPr>
          <w:rFonts w:ascii="楷体_GB2312" w:eastAsia="楷体_GB2312" w:hAnsi="æ¥·ä½“_GB2312" w:cs="æ¥·ä½“_GB2312"/>
          <w:kern w:val="0"/>
          <w:sz w:val="21"/>
          <w:szCs w:val="21"/>
        </w:rPr>
      </w:pPr>
    </w:p>
    <w:p w:rsidR="005D1E63" w:rsidRDefault="005D1E63">
      <w:pPr>
        <w:autoSpaceDE w:val="0"/>
        <w:autoSpaceDN w:val="0"/>
        <w:adjustRightInd w:val="0"/>
        <w:ind w:left="420" w:firstLineChars="200" w:firstLine="420"/>
        <w:jc w:val="left"/>
        <w:rPr>
          <w:rFonts w:ascii="楷体_GB2312" w:eastAsia="楷体_GB2312" w:hAnsi="æ¥·ä½“_GB2312" w:cs="æ¥·ä½“_GB2312"/>
          <w:kern w:val="0"/>
          <w:sz w:val="21"/>
          <w:szCs w:val="21"/>
        </w:rPr>
      </w:pPr>
    </w:p>
    <w:p w:rsidR="005D1E63" w:rsidRDefault="005D1E63">
      <w:pPr>
        <w:autoSpaceDE w:val="0"/>
        <w:autoSpaceDN w:val="0"/>
        <w:adjustRightInd w:val="0"/>
        <w:ind w:left="420" w:firstLineChars="200" w:firstLine="420"/>
        <w:jc w:val="left"/>
        <w:rPr>
          <w:rFonts w:ascii="楷体_GB2312" w:eastAsia="楷体_GB2312" w:hAnsi="æ¥·ä½“_GB2312" w:cs="æ¥·ä½“_GB2312"/>
          <w:kern w:val="0"/>
          <w:sz w:val="21"/>
          <w:szCs w:val="21"/>
        </w:rPr>
      </w:pPr>
    </w:p>
    <w:p w:rsidR="005D1E63" w:rsidRDefault="00965358">
      <w:pPr>
        <w:widowControl/>
        <w:snapToGrid w:val="0"/>
        <w:ind w:firstLineChars="250" w:firstLine="753"/>
        <w:jc w:val="left"/>
        <w:outlineLvl w:val="0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lastRenderedPageBreak/>
        <w:t>附表4:</w:t>
      </w:r>
    </w:p>
    <w:p w:rsidR="005D1E63" w:rsidRDefault="005D1E63">
      <w:pPr>
        <w:widowControl/>
        <w:snapToGrid w:val="0"/>
        <w:jc w:val="center"/>
        <w:rPr>
          <w:rFonts w:ascii="宋体" w:eastAsia="宋体" w:hAnsi="宋体" w:cs="宋体"/>
          <w:b/>
          <w:bCs/>
          <w:color w:val="000000"/>
          <w:szCs w:val="32"/>
        </w:rPr>
      </w:pPr>
    </w:p>
    <w:p w:rsidR="005D1E63" w:rsidRDefault="00965358">
      <w:pPr>
        <w:widowControl/>
        <w:snapToGrid w:val="0"/>
        <w:jc w:val="center"/>
        <w:outlineLvl w:val="0"/>
        <w:rPr>
          <w:rFonts w:ascii="方正小标宋简体" w:eastAsia="方正小标宋简体" w:hAnsi="宋体" w:cs="仿宋_GB2312"/>
          <w:b/>
          <w:bCs/>
          <w:color w:val="000000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zCs w:val="32"/>
        </w:rPr>
        <w:t>2020年一季度各网公司、省（区、市）电力公司供电可靠性指标</w:t>
      </w:r>
    </w:p>
    <w:tbl>
      <w:tblPr>
        <w:tblW w:w="11848" w:type="dxa"/>
        <w:jc w:val="center"/>
        <w:tblLayout w:type="fixed"/>
        <w:tblLook w:val="04A0" w:firstRow="1" w:lastRow="0" w:firstColumn="1" w:lastColumn="0" w:noHBand="0" w:noVBand="1"/>
      </w:tblPr>
      <w:tblGrid>
        <w:gridCol w:w="2914"/>
        <w:gridCol w:w="992"/>
        <w:gridCol w:w="993"/>
        <w:gridCol w:w="993"/>
        <w:gridCol w:w="992"/>
        <w:gridCol w:w="993"/>
        <w:gridCol w:w="993"/>
        <w:gridCol w:w="992"/>
        <w:gridCol w:w="993"/>
        <w:gridCol w:w="993"/>
      </w:tblGrid>
      <w:tr w:rsidR="005D1E63">
        <w:trPr>
          <w:trHeight w:val="499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企业名称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供电可靠率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%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平均停电时间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sz w:val="18"/>
                <w:szCs w:val="18"/>
              </w:rPr>
              <w:t>（小时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户）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平均停电频率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sz w:val="18"/>
                <w:szCs w:val="18"/>
              </w:rPr>
              <w:t>（次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户）</w:t>
            </w:r>
          </w:p>
        </w:tc>
      </w:tr>
      <w:tr w:rsidR="005D1E63">
        <w:trPr>
          <w:trHeight w:val="499"/>
          <w:jc w:val="center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5D1E63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全口径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城市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全口径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城市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全口径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城市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农村</w:t>
            </w:r>
          </w:p>
        </w:tc>
      </w:tr>
      <w:tr w:rsidR="005D1E63">
        <w:trPr>
          <w:trHeight w:val="49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0.537</w:t>
            </w:r>
          </w:p>
        </w:tc>
      </w:tr>
      <w:tr w:rsidR="005D1E63">
        <w:trPr>
          <w:trHeight w:val="49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国家电网有限公司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99.9448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99.9784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99.9325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0.442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冀北电力有限公司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0.599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北京市电力公司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0.172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河北省电力有限公司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0.567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山西省电力公司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0.791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天津市电力公司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0.212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山东省电力公司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0.146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辽宁省电力有限公司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0.484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吉林省电力有限公司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0.400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黑龙江省电力有限公司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0.266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内蒙古东部电力有限公司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0.308</w:t>
            </w:r>
          </w:p>
        </w:tc>
      </w:tr>
      <w:tr w:rsidR="005D1E63">
        <w:trPr>
          <w:trHeight w:val="447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江苏省电力有限公司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0.172</w:t>
            </w:r>
          </w:p>
        </w:tc>
      </w:tr>
      <w:tr w:rsidR="005D1E63">
        <w:trPr>
          <w:trHeight w:val="447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浙江省电力有限公司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0.289</w:t>
            </w:r>
          </w:p>
        </w:tc>
      </w:tr>
      <w:tr w:rsidR="005D1E63">
        <w:trPr>
          <w:trHeight w:val="447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安徽省电力有限公司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0.856</w:t>
            </w:r>
          </w:p>
        </w:tc>
      </w:tr>
      <w:tr w:rsidR="005D1E63">
        <w:trPr>
          <w:trHeight w:val="447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上海市电力公司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0.069</w:t>
            </w:r>
          </w:p>
        </w:tc>
      </w:tr>
      <w:tr w:rsidR="005D1E63">
        <w:trPr>
          <w:trHeight w:val="48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福建省电力有限公司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0.211</w:t>
            </w:r>
          </w:p>
        </w:tc>
      </w:tr>
      <w:tr w:rsidR="005D1E63">
        <w:trPr>
          <w:trHeight w:val="45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河南省电力公司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0.579</w:t>
            </w:r>
          </w:p>
        </w:tc>
      </w:tr>
      <w:tr w:rsidR="005D1E63">
        <w:trPr>
          <w:trHeight w:val="465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湖北省电力有限公司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0.612</w:t>
            </w:r>
          </w:p>
        </w:tc>
      </w:tr>
      <w:tr w:rsidR="005D1E63">
        <w:trPr>
          <w:trHeight w:val="447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湖南省电力有限公司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1.009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江西省电力有限公司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0.720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四川省电力公司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0.406</w:t>
            </w:r>
          </w:p>
        </w:tc>
      </w:tr>
      <w:tr w:rsidR="005D1E63">
        <w:trPr>
          <w:trHeight w:val="43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重庆市电力公司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0.372</w:t>
            </w:r>
          </w:p>
        </w:tc>
      </w:tr>
      <w:tr w:rsidR="005D1E63">
        <w:trPr>
          <w:trHeight w:val="46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陕西省电力公司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0.497</w:t>
            </w:r>
          </w:p>
        </w:tc>
      </w:tr>
      <w:tr w:rsidR="005D1E63">
        <w:trPr>
          <w:trHeight w:val="46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甘肃省电力公司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0.368</w:t>
            </w:r>
          </w:p>
        </w:tc>
      </w:tr>
      <w:tr w:rsidR="005D1E63">
        <w:trPr>
          <w:trHeight w:val="46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青海省电力公司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0.221</w:t>
            </w:r>
          </w:p>
        </w:tc>
      </w:tr>
      <w:tr w:rsidR="005D1E63">
        <w:trPr>
          <w:trHeight w:val="46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宁夏电力有限公司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0.351</w:t>
            </w:r>
          </w:p>
        </w:tc>
      </w:tr>
      <w:tr w:rsidR="005D1E63">
        <w:trPr>
          <w:trHeight w:val="469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新疆电力有限公司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0.578</w:t>
            </w:r>
          </w:p>
        </w:tc>
      </w:tr>
      <w:tr w:rsidR="005D1E63">
        <w:trPr>
          <w:trHeight w:val="45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西藏电力有限公司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0.652</w:t>
            </w:r>
          </w:p>
        </w:tc>
      </w:tr>
      <w:tr w:rsidR="005D1E63">
        <w:trPr>
          <w:trHeight w:val="45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中国南方电网有限责任公司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99.8672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99.9638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99.8244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2.90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3.84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0.812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0.233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1.070</w:t>
            </w:r>
          </w:p>
        </w:tc>
      </w:tr>
      <w:tr w:rsidR="005D1E63">
        <w:trPr>
          <w:trHeight w:val="45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广东省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0.245</w:t>
            </w:r>
          </w:p>
        </w:tc>
      </w:tr>
      <w:tr w:rsidR="005D1E63">
        <w:trPr>
          <w:trHeight w:val="48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广东电网有限责任公司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99.9716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99.9867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99.9611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0.62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0.19</w:t>
            </w:r>
          </w:p>
        </w:tc>
      </w:tr>
      <w:tr w:rsidR="005D1E63">
        <w:trPr>
          <w:trHeight w:val="48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深圳供电局有限公司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0.033</w:t>
            </w:r>
          </w:p>
        </w:tc>
      </w:tr>
      <w:tr w:rsidR="005D1E63">
        <w:trPr>
          <w:trHeight w:val="48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广西电网有限责任公司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99.7978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1.593</w:t>
            </w:r>
          </w:p>
        </w:tc>
      </w:tr>
      <w:tr w:rsidR="005D1E63">
        <w:trPr>
          <w:trHeight w:val="48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云南电网有限责任公司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99.7146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99.6787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6.23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7.02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1.263</w:t>
            </w:r>
          </w:p>
        </w:tc>
      </w:tr>
      <w:tr w:rsidR="005D1E63">
        <w:trPr>
          <w:trHeight w:val="48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贵州电网有限责任公司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99.7795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4.16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4.82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1.710</w:t>
            </w:r>
          </w:p>
        </w:tc>
      </w:tr>
      <w:tr w:rsidR="005D1E63">
        <w:trPr>
          <w:trHeight w:val="48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海南电网有限责任公司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0.798</w:t>
            </w:r>
          </w:p>
        </w:tc>
      </w:tr>
      <w:tr w:rsidR="005D1E63">
        <w:trPr>
          <w:trHeight w:val="48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内蒙古电力（集团）有限责任公司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0.335</w:t>
            </w:r>
          </w:p>
        </w:tc>
      </w:tr>
      <w:tr w:rsidR="005D1E63">
        <w:trPr>
          <w:trHeight w:val="48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山西国际电力集团公司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0.417</w:t>
            </w:r>
          </w:p>
        </w:tc>
      </w:tr>
      <w:tr w:rsidR="005D1E63">
        <w:trPr>
          <w:trHeight w:val="48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3" w:rsidRDefault="00965358"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陕西省地方电力（集团）有限公司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99.8934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E63" w:rsidRDefault="0096535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0.721</w:t>
            </w:r>
          </w:p>
        </w:tc>
      </w:tr>
    </w:tbl>
    <w:p w:rsidR="005D1E63" w:rsidRDefault="005D1E63"/>
    <w:sectPr w:rsidR="005D1E63" w:rsidSect="005D1E6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E" w:rsidRDefault="004A219E" w:rsidP="005D1E63">
      <w:r>
        <w:separator/>
      </w:r>
    </w:p>
  </w:endnote>
  <w:endnote w:type="continuationSeparator" w:id="0">
    <w:p w:rsidR="004A219E" w:rsidRDefault="004A219E" w:rsidP="005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妤蜂綋_GB2312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æ¥·ä½“_GB2312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63" w:rsidRDefault="005D1E63">
    <w:pPr>
      <w:pStyle w:val="a9"/>
      <w:framePr w:wrap="around" w:vAnchor="text" w:hAnchor="margin" w:xAlign="outside" w:y="1"/>
      <w:rPr>
        <w:rStyle w:val="af"/>
      </w:rPr>
    </w:pPr>
    <w:r>
      <w:fldChar w:fldCharType="begin"/>
    </w:r>
    <w:r w:rsidR="00965358">
      <w:rPr>
        <w:rStyle w:val="af"/>
      </w:rPr>
      <w:instrText xml:space="preserve">PAGE  </w:instrText>
    </w:r>
    <w:r>
      <w:fldChar w:fldCharType="end"/>
    </w:r>
  </w:p>
  <w:p w:rsidR="005D1E63" w:rsidRDefault="005D1E63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414300"/>
      <w:docPartObj>
        <w:docPartGallery w:val="Page Numbers (Bottom of Page)"/>
        <w:docPartUnique/>
      </w:docPartObj>
    </w:sdtPr>
    <w:sdtEndPr/>
    <w:sdtContent>
      <w:p w:rsidR="002D30F8" w:rsidRDefault="002D30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7B" w:rsidRPr="0089287B">
          <w:rPr>
            <w:noProof/>
            <w:lang w:val="zh-CN"/>
          </w:rPr>
          <w:t>5</w:t>
        </w:r>
        <w:r>
          <w:fldChar w:fldCharType="end"/>
        </w:r>
      </w:p>
    </w:sdtContent>
  </w:sdt>
  <w:p w:rsidR="005D1E63" w:rsidRDefault="005D1E6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E" w:rsidRDefault="004A219E" w:rsidP="005D1E63">
      <w:r>
        <w:separator/>
      </w:r>
    </w:p>
  </w:footnote>
  <w:footnote w:type="continuationSeparator" w:id="0">
    <w:p w:rsidR="004A219E" w:rsidRDefault="004A219E" w:rsidP="005D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719"/>
    <w:rsid w:val="0000233D"/>
    <w:rsid w:val="0000552D"/>
    <w:rsid w:val="000063D4"/>
    <w:rsid w:val="00007678"/>
    <w:rsid w:val="0001632E"/>
    <w:rsid w:val="000171DD"/>
    <w:rsid w:val="0002000D"/>
    <w:rsid w:val="00020E89"/>
    <w:rsid w:val="000247FC"/>
    <w:rsid w:val="00024D64"/>
    <w:rsid w:val="00025140"/>
    <w:rsid w:val="00030A42"/>
    <w:rsid w:val="00034130"/>
    <w:rsid w:val="00034961"/>
    <w:rsid w:val="00034C07"/>
    <w:rsid w:val="00034D87"/>
    <w:rsid w:val="00034EA2"/>
    <w:rsid w:val="000406B1"/>
    <w:rsid w:val="0004127C"/>
    <w:rsid w:val="00042F82"/>
    <w:rsid w:val="000508FD"/>
    <w:rsid w:val="000536B4"/>
    <w:rsid w:val="00062AE1"/>
    <w:rsid w:val="00064070"/>
    <w:rsid w:val="0006718A"/>
    <w:rsid w:val="000703C4"/>
    <w:rsid w:val="00074A2C"/>
    <w:rsid w:val="0007695E"/>
    <w:rsid w:val="00093BC7"/>
    <w:rsid w:val="00095EBA"/>
    <w:rsid w:val="000A073E"/>
    <w:rsid w:val="000A0833"/>
    <w:rsid w:val="000A1439"/>
    <w:rsid w:val="000A1BA0"/>
    <w:rsid w:val="000A54E9"/>
    <w:rsid w:val="000A6F42"/>
    <w:rsid w:val="000B01E9"/>
    <w:rsid w:val="000B3930"/>
    <w:rsid w:val="000B59EE"/>
    <w:rsid w:val="000C2545"/>
    <w:rsid w:val="000C27EE"/>
    <w:rsid w:val="000D2AEA"/>
    <w:rsid w:val="000D4BA3"/>
    <w:rsid w:val="000E169C"/>
    <w:rsid w:val="000E237F"/>
    <w:rsid w:val="000E2CFD"/>
    <w:rsid w:val="000E7B57"/>
    <w:rsid w:val="000F24F3"/>
    <w:rsid w:val="00102883"/>
    <w:rsid w:val="00104EA8"/>
    <w:rsid w:val="00106A91"/>
    <w:rsid w:val="00111483"/>
    <w:rsid w:val="00113CA1"/>
    <w:rsid w:val="00117371"/>
    <w:rsid w:val="0012183D"/>
    <w:rsid w:val="00123971"/>
    <w:rsid w:val="001307EE"/>
    <w:rsid w:val="001365B2"/>
    <w:rsid w:val="00137E6B"/>
    <w:rsid w:val="00151B35"/>
    <w:rsid w:val="0015388F"/>
    <w:rsid w:val="00155352"/>
    <w:rsid w:val="00156957"/>
    <w:rsid w:val="00157752"/>
    <w:rsid w:val="001607AE"/>
    <w:rsid w:val="001624A7"/>
    <w:rsid w:val="001705B6"/>
    <w:rsid w:val="00170AE0"/>
    <w:rsid w:val="0017276B"/>
    <w:rsid w:val="00174A29"/>
    <w:rsid w:val="00175959"/>
    <w:rsid w:val="00180EED"/>
    <w:rsid w:val="001812FD"/>
    <w:rsid w:val="001824DD"/>
    <w:rsid w:val="001835D6"/>
    <w:rsid w:val="00185359"/>
    <w:rsid w:val="0018620A"/>
    <w:rsid w:val="001921DD"/>
    <w:rsid w:val="001939CA"/>
    <w:rsid w:val="00194091"/>
    <w:rsid w:val="001B12C7"/>
    <w:rsid w:val="001B325F"/>
    <w:rsid w:val="001B3F07"/>
    <w:rsid w:val="001C0D0D"/>
    <w:rsid w:val="001C1547"/>
    <w:rsid w:val="001C15C5"/>
    <w:rsid w:val="001D55C1"/>
    <w:rsid w:val="001D7462"/>
    <w:rsid w:val="001E1916"/>
    <w:rsid w:val="001E2280"/>
    <w:rsid w:val="001E4C1A"/>
    <w:rsid w:val="001F0E5E"/>
    <w:rsid w:val="001F275F"/>
    <w:rsid w:val="001F3183"/>
    <w:rsid w:val="001F50D0"/>
    <w:rsid w:val="001F7AC2"/>
    <w:rsid w:val="00211542"/>
    <w:rsid w:val="00213DDB"/>
    <w:rsid w:val="0022568D"/>
    <w:rsid w:val="00226486"/>
    <w:rsid w:val="00226A15"/>
    <w:rsid w:val="00227D1F"/>
    <w:rsid w:val="002328ED"/>
    <w:rsid w:val="00233515"/>
    <w:rsid w:val="002342AE"/>
    <w:rsid w:val="00235030"/>
    <w:rsid w:val="00237CA9"/>
    <w:rsid w:val="00252201"/>
    <w:rsid w:val="00256FDE"/>
    <w:rsid w:val="00257771"/>
    <w:rsid w:val="00260750"/>
    <w:rsid w:val="0026445D"/>
    <w:rsid w:val="00266CEE"/>
    <w:rsid w:val="00270937"/>
    <w:rsid w:val="00271656"/>
    <w:rsid w:val="002742FA"/>
    <w:rsid w:val="00274582"/>
    <w:rsid w:val="0027693C"/>
    <w:rsid w:val="0027699D"/>
    <w:rsid w:val="0028011B"/>
    <w:rsid w:val="00281083"/>
    <w:rsid w:val="00285249"/>
    <w:rsid w:val="00286672"/>
    <w:rsid w:val="002A0F9C"/>
    <w:rsid w:val="002A1335"/>
    <w:rsid w:val="002A322A"/>
    <w:rsid w:val="002A4AA3"/>
    <w:rsid w:val="002A573B"/>
    <w:rsid w:val="002B0E20"/>
    <w:rsid w:val="002B261A"/>
    <w:rsid w:val="002B48C1"/>
    <w:rsid w:val="002B4CC5"/>
    <w:rsid w:val="002B6454"/>
    <w:rsid w:val="002C2F15"/>
    <w:rsid w:val="002C3469"/>
    <w:rsid w:val="002C6812"/>
    <w:rsid w:val="002D30F8"/>
    <w:rsid w:val="002D4A4F"/>
    <w:rsid w:val="002D56AA"/>
    <w:rsid w:val="002D6769"/>
    <w:rsid w:val="002E4056"/>
    <w:rsid w:val="002E56A3"/>
    <w:rsid w:val="002E61BB"/>
    <w:rsid w:val="002E670C"/>
    <w:rsid w:val="002F00F7"/>
    <w:rsid w:val="002F07CD"/>
    <w:rsid w:val="002F0909"/>
    <w:rsid w:val="002F38FB"/>
    <w:rsid w:val="002F4E3D"/>
    <w:rsid w:val="002F50E5"/>
    <w:rsid w:val="002F65CD"/>
    <w:rsid w:val="00304016"/>
    <w:rsid w:val="003051BC"/>
    <w:rsid w:val="00305F84"/>
    <w:rsid w:val="00314754"/>
    <w:rsid w:val="003159DC"/>
    <w:rsid w:val="0032321E"/>
    <w:rsid w:val="00323CC1"/>
    <w:rsid w:val="00327401"/>
    <w:rsid w:val="00342E67"/>
    <w:rsid w:val="00343AB2"/>
    <w:rsid w:val="00345C62"/>
    <w:rsid w:val="003516B5"/>
    <w:rsid w:val="00351ACC"/>
    <w:rsid w:val="00357B8C"/>
    <w:rsid w:val="003625EF"/>
    <w:rsid w:val="00364797"/>
    <w:rsid w:val="00377408"/>
    <w:rsid w:val="00382A9A"/>
    <w:rsid w:val="003836A3"/>
    <w:rsid w:val="00384DD8"/>
    <w:rsid w:val="00390959"/>
    <w:rsid w:val="00391079"/>
    <w:rsid w:val="00393F84"/>
    <w:rsid w:val="003968B2"/>
    <w:rsid w:val="00397004"/>
    <w:rsid w:val="003A1E4F"/>
    <w:rsid w:val="003A2738"/>
    <w:rsid w:val="003B01FE"/>
    <w:rsid w:val="003B406C"/>
    <w:rsid w:val="003B4BF4"/>
    <w:rsid w:val="003B54B3"/>
    <w:rsid w:val="003B6863"/>
    <w:rsid w:val="003B6913"/>
    <w:rsid w:val="003B74CD"/>
    <w:rsid w:val="003B78E4"/>
    <w:rsid w:val="003C11F5"/>
    <w:rsid w:val="003C126B"/>
    <w:rsid w:val="003C75D2"/>
    <w:rsid w:val="003D2A4E"/>
    <w:rsid w:val="003E289B"/>
    <w:rsid w:val="003F58AB"/>
    <w:rsid w:val="003F6A6E"/>
    <w:rsid w:val="0040111A"/>
    <w:rsid w:val="00403262"/>
    <w:rsid w:val="004149AA"/>
    <w:rsid w:val="004171E2"/>
    <w:rsid w:val="00424EE7"/>
    <w:rsid w:val="00427830"/>
    <w:rsid w:val="00427ADE"/>
    <w:rsid w:val="004310E7"/>
    <w:rsid w:val="00443055"/>
    <w:rsid w:val="004475F7"/>
    <w:rsid w:val="004536CF"/>
    <w:rsid w:val="00470366"/>
    <w:rsid w:val="004719BA"/>
    <w:rsid w:val="00473AB6"/>
    <w:rsid w:val="00473F77"/>
    <w:rsid w:val="0047644C"/>
    <w:rsid w:val="004815CE"/>
    <w:rsid w:val="0048394B"/>
    <w:rsid w:val="0049118C"/>
    <w:rsid w:val="00491D2B"/>
    <w:rsid w:val="00492049"/>
    <w:rsid w:val="00492E6C"/>
    <w:rsid w:val="00494DFB"/>
    <w:rsid w:val="00496E75"/>
    <w:rsid w:val="004A18A9"/>
    <w:rsid w:val="004A219E"/>
    <w:rsid w:val="004A4057"/>
    <w:rsid w:val="004B31C0"/>
    <w:rsid w:val="004B3226"/>
    <w:rsid w:val="004B6E25"/>
    <w:rsid w:val="004B74AB"/>
    <w:rsid w:val="004B784F"/>
    <w:rsid w:val="004C1989"/>
    <w:rsid w:val="004C535C"/>
    <w:rsid w:val="004C760D"/>
    <w:rsid w:val="004D08D8"/>
    <w:rsid w:val="004D1D9A"/>
    <w:rsid w:val="004D3A7B"/>
    <w:rsid w:val="004D5960"/>
    <w:rsid w:val="004D6C2E"/>
    <w:rsid w:val="004E0389"/>
    <w:rsid w:val="004F3E2D"/>
    <w:rsid w:val="00503645"/>
    <w:rsid w:val="0051265A"/>
    <w:rsid w:val="00514824"/>
    <w:rsid w:val="00514A69"/>
    <w:rsid w:val="00521509"/>
    <w:rsid w:val="00524644"/>
    <w:rsid w:val="00524C8D"/>
    <w:rsid w:val="0052677F"/>
    <w:rsid w:val="00530050"/>
    <w:rsid w:val="0053317D"/>
    <w:rsid w:val="00533CF3"/>
    <w:rsid w:val="0053465A"/>
    <w:rsid w:val="00537E17"/>
    <w:rsid w:val="00541DEE"/>
    <w:rsid w:val="00546389"/>
    <w:rsid w:val="00551033"/>
    <w:rsid w:val="00554557"/>
    <w:rsid w:val="0055485F"/>
    <w:rsid w:val="005552E7"/>
    <w:rsid w:val="00555931"/>
    <w:rsid w:val="0055791D"/>
    <w:rsid w:val="00561E2F"/>
    <w:rsid w:val="00567E77"/>
    <w:rsid w:val="00570045"/>
    <w:rsid w:val="0057068A"/>
    <w:rsid w:val="00583274"/>
    <w:rsid w:val="00583AC9"/>
    <w:rsid w:val="00586F01"/>
    <w:rsid w:val="00592B74"/>
    <w:rsid w:val="005935BA"/>
    <w:rsid w:val="005A009C"/>
    <w:rsid w:val="005A119C"/>
    <w:rsid w:val="005A1927"/>
    <w:rsid w:val="005A1A19"/>
    <w:rsid w:val="005A2B66"/>
    <w:rsid w:val="005A7940"/>
    <w:rsid w:val="005A7A9B"/>
    <w:rsid w:val="005B2E75"/>
    <w:rsid w:val="005B7894"/>
    <w:rsid w:val="005B79E1"/>
    <w:rsid w:val="005C54B2"/>
    <w:rsid w:val="005D03A0"/>
    <w:rsid w:val="005D0F91"/>
    <w:rsid w:val="005D1E63"/>
    <w:rsid w:val="005D6C20"/>
    <w:rsid w:val="005E3C03"/>
    <w:rsid w:val="005E58FF"/>
    <w:rsid w:val="005E6C9B"/>
    <w:rsid w:val="005F021B"/>
    <w:rsid w:val="005F549B"/>
    <w:rsid w:val="005F6FE0"/>
    <w:rsid w:val="00600C83"/>
    <w:rsid w:val="006035DE"/>
    <w:rsid w:val="00605528"/>
    <w:rsid w:val="00610B9E"/>
    <w:rsid w:val="006111AE"/>
    <w:rsid w:val="00625421"/>
    <w:rsid w:val="00634124"/>
    <w:rsid w:val="00635F3E"/>
    <w:rsid w:val="00636FA1"/>
    <w:rsid w:val="00640F89"/>
    <w:rsid w:val="00650723"/>
    <w:rsid w:val="006519B5"/>
    <w:rsid w:val="00652588"/>
    <w:rsid w:val="00655422"/>
    <w:rsid w:val="00661D68"/>
    <w:rsid w:val="006648E4"/>
    <w:rsid w:val="00671520"/>
    <w:rsid w:val="006727D7"/>
    <w:rsid w:val="00673BED"/>
    <w:rsid w:val="006802AD"/>
    <w:rsid w:val="00680337"/>
    <w:rsid w:val="00681D71"/>
    <w:rsid w:val="006841A0"/>
    <w:rsid w:val="006953BC"/>
    <w:rsid w:val="006965A3"/>
    <w:rsid w:val="006A3134"/>
    <w:rsid w:val="006A49A9"/>
    <w:rsid w:val="006B61C5"/>
    <w:rsid w:val="006C5E6A"/>
    <w:rsid w:val="006C7E13"/>
    <w:rsid w:val="006D0290"/>
    <w:rsid w:val="006D278B"/>
    <w:rsid w:val="006D46AA"/>
    <w:rsid w:val="006F2D1A"/>
    <w:rsid w:val="006F3046"/>
    <w:rsid w:val="006F3654"/>
    <w:rsid w:val="006F4525"/>
    <w:rsid w:val="006F5A3A"/>
    <w:rsid w:val="006F61C0"/>
    <w:rsid w:val="00701603"/>
    <w:rsid w:val="007020BE"/>
    <w:rsid w:val="0070548C"/>
    <w:rsid w:val="00713958"/>
    <w:rsid w:val="00715459"/>
    <w:rsid w:val="0072058C"/>
    <w:rsid w:val="007241FA"/>
    <w:rsid w:val="00730734"/>
    <w:rsid w:val="00731D57"/>
    <w:rsid w:val="00732B9B"/>
    <w:rsid w:val="0073416D"/>
    <w:rsid w:val="007351DD"/>
    <w:rsid w:val="007369E7"/>
    <w:rsid w:val="00746161"/>
    <w:rsid w:val="00753930"/>
    <w:rsid w:val="00760188"/>
    <w:rsid w:val="00764CBB"/>
    <w:rsid w:val="00765A85"/>
    <w:rsid w:val="007709D6"/>
    <w:rsid w:val="0077192C"/>
    <w:rsid w:val="00773F1D"/>
    <w:rsid w:val="00774CCC"/>
    <w:rsid w:val="00794818"/>
    <w:rsid w:val="007A00FA"/>
    <w:rsid w:val="007B0662"/>
    <w:rsid w:val="007B1A3F"/>
    <w:rsid w:val="007B1C6F"/>
    <w:rsid w:val="007C11AB"/>
    <w:rsid w:val="007C5F43"/>
    <w:rsid w:val="007D0BD3"/>
    <w:rsid w:val="007E0F9E"/>
    <w:rsid w:val="007E284A"/>
    <w:rsid w:val="007E45BA"/>
    <w:rsid w:val="007E57CA"/>
    <w:rsid w:val="007F1008"/>
    <w:rsid w:val="007F34D9"/>
    <w:rsid w:val="007F3F93"/>
    <w:rsid w:val="007F687E"/>
    <w:rsid w:val="00803F3E"/>
    <w:rsid w:val="00805B48"/>
    <w:rsid w:val="0081163F"/>
    <w:rsid w:val="0081721C"/>
    <w:rsid w:val="0082147E"/>
    <w:rsid w:val="00823BCB"/>
    <w:rsid w:val="00826AA0"/>
    <w:rsid w:val="008276AE"/>
    <w:rsid w:val="008312BF"/>
    <w:rsid w:val="008322D0"/>
    <w:rsid w:val="00840B79"/>
    <w:rsid w:val="00840B89"/>
    <w:rsid w:val="008424DE"/>
    <w:rsid w:val="00853829"/>
    <w:rsid w:val="008552A8"/>
    <w:rsid w:val="008557F8"/>
    <w:rsid w:val="00863CB5"/>
    <w:rsid w:val="008655CE"/>
    <w:rsid w:val="00865B51"/>
    <w:rsid w:val="00865D5F"/>
    <w:rsid w:val="00871BBD"/>
    <w:rsid w:val="0087390F"/>
    <w:rsid w:val="00873F4F"/>
    <w:rsid w:val="00876B4F"/>
    <w:rsid w:val="00880F75"/>
    <w:rsid w:val="0088243D"/>
    <w:rsid w:val="0089287B"/>
    <w:rsid w:val="00892BAA"/>
    <w:rsid w:val="00893975"/>
    <w:rsid w:val="008A686D"/>
    <w:rsid w:val="008A76E6"/>
    <w:rsid w:val="008B0E72"/>
    <w:rsid w:val="008B5FA9"/>
    <w:rsid w:val="008D0BF8"/>
    <w:rsid w:val="008D0FB5"/>
    <w:rsid w:val="008D5A12"/>
    <w:rsid w:val="008E7930"/>
    <w:rsid w:val="008F10B5"/>
    <w:rsid w:val="008F2B99"/>
    <w:rsid w:val="00901101"/>
    <w:rsid w:val="009020CF"/>
    <w:rsid w:val="00903BFD"/>
    <w:rsid w:val="009064C0"/>
    <w:rsid w:val="00907734"/>
    <w:rsid w:val="0091269D"/>
    <w:rsid w:val="00913A38"/>
    <w:rsid w:val="00914676"/>
    <w:rsid w:val="009160B4"/>
    <w:rsid w:val="00930D1C"/>
    <w:rsid w:val="009332AD"/>
    <w:rsid w:val="00941476"/>
    <w:rsid w:val="00946E84"/>
    <w:rsid w:val="00951D70"/>
    <w:rsid w:val="00951DBE"/>
    <w:rsid w:val="00953EEB"/>
    <w:rsid w:val="00965358"/>
    <w:rsid w:val="00965A38"/>
    <w:rsid w:val="00973E95"/>
    <w:rsid w:val="009745EA"/>
    <w:rsid w:val="00974F9D"/>
    <w:rsid w:val="0098066D"/>
    <w:rsid w:val="00984E2E"/>
    <w:rsid w:val="00995985"/>
    <w:rsid w:val="009A10D2"/>
    <w:rsid w:val="009A11DB"/>
    <w:rsid w:val="009A408C"/>
    <w:rsid w:val="009A67F7"/>
    <w:rsid w:val="009B7ED1"/>
    <w:rsid w:val="009C2022"/>
    <w:rsid w:val="009D322B"/>
    <w:rsid w:val="009D7D44"/>
    <w:rsid w:val="009E0F53"/>
    <w:rsid w:val="009E2C64"/>
    <w:rsid w:val="009E561A"/>
    <w:rsid w:val="009E56CF"/>
    <w:rsid w:val="009F43D6"/>
    <w:rsid w:val="009F6513"/>
    <w:rsid w:val="00A044E7"/>
    <w:rsid w:val="00A159EE"/>
    <w:rsid w:val="00A25C45"/>
    <w:rsid w:val="00A36B76"/>
    <w:rsid w:val="00A41407"/>
    <w:rsid w:val="00A42B24"/>
    <w:rsid w:val="00A52214"/>
    <w:rsid w:val="00A574DA"/>
    <w:rsid w:val="00A6286C"/>
    <w:rsid w:val="00A628F1"/>
    <w:rsid w:val="00A6522F"/>
    <w:rsid w:val="00A66D1B"/>
    <w:rsid w:val="00A71B55"/>
    <w:rsid w:val="00A72E14"/>
    <w:rsid w:val="00A74545"/>
    <w:rsid w:val="00A805C2"/>
    <w:rsid w:val="00A83FBA"/>
    <w:rsid w:val="00A85E7B"/>
    <w:rsid w:val="00A87C20"/>
    <w:rsid w:val="00A91548"/>
    <w:rsid w:val="00A9569E"/>
    <w:rsid w:val="00AA1204"/>
    <w:rsid w:val="00AA3F9B"/>
    <w:rsid w:val="00AA6CA3"/>
    <w:rsid w:val="00AB363B"/>
    <w:rsid w:val="00AC054D"/>
    <w:rsid w:val="00AC0A68"/>
    <w:rsid w:val="00AC1A3C"/>
    <w:rsid w:val="00AD4B61"/>
    <w:rsid w:val="00AE2998"/>
    <w:rsid w:val="00AF0DC5"/>
    <w:rsid w:val="00AF3797"/>
    <w:rsid w:val="00AF4CF9"/>
    <w:rsid w:val="00AF72F3"/>
    <w:rsid w:val="00B00AAC"/>
    <w:rsid w:val="00B01D19"/>
    <w:rsid w:val="00B06AB5"/>
    <w:rsid w:val="00B06CE0"/>
    <w:rsid w:val="00B11B11"/>
    <w:rsid w:val="00B16853"/>
    <w:rsid w:val="00B2119E"/>
    <w:rsid w:val="00B222D5"/>
    <w:rsid w:val="00B26BB1"/>
    <w:rsid w:val="00B3176A"/>
    <w:rsid w:val="00B33262"/>
    <w:rsid w:val="00B35ECD"/>
    <w:rsid w:val="00B36251"/>
    <w:rsid w:val="00B367C9"/>
    <w:rsid w:val="00B4126B"/>
    <w:rsid w:val="00B4270C"/>
    <w:rsid w:val="00B42943"/>
    <w:rsid w:val="00B50CAA"/>
    <w:rsid w:val="00B51468"/>
    <w:rsid w:val="00B52C32"/>
    <w:rsid w:val="00B551B7"/>
    <w:rsid w:val="00B626D3"/>
    <w:rsid w:val="00B65110"/>
    <w:rsid w:val="00B672FB"/>
    <w:rsid w:val="00B7019B"/>
    <w:rsid w:val="00B749DC"/>
    <w:rsid w:val="00B766BE"/>
    <w:rsid w:val="00B81BE7"/>
    <w:rsid w:val="00B81F78"/>
    <w:rsid w:val="00B86FC5"/>
    <w:rsid w:val="00B963A3"/>
    <w:rsid w:val="00B966C9"/>
    <w:rsid w:val="00B9737C"/>
    <w:rsid w:val="00BB27C9"/>
    <w:rsid w:val="00BB587B"/>
    <w:rsid w:val="00BB759E"/>
    <w:rsid w:val="00BC22B8"/>
    <w:rsid w:val="00BC378E"/>
    <w:rsid w:val="00BC65D2"/>
    <w:rsid w:val="00BD078C"/>
    <w:rsid w:val="00BD41E8"/>
    <w:rsid w:val="00BD55EB"/>
    <w:rsid w:val="00BE19E0"/>
    <w:rsid w:val="00BE6A0B"/>
    <w:rsid w:val="00BF0AA2"/>
    <w:rsid w:val="00BF29FE"/>
    <w:rsid w:val="00BF4E01"/>
    <w:rsid w:val="00C1678E"/>
    <w:rsid w:val="00C25EBD"/>
    <w:rsid w:val="00C3295A"/>
    <w:rsid w:val="00C40A73"/>
    <w:rsid w:val="00C44883"/>
    <w:rsid w:val="00C46D20"/>
    <w:rsid w:val="00C47980"/>
    <w:rsid w:val="00C5194B"/>
    <w:rsid w:val="00C558C1"/>
    <w:rsid w:val="00C55B8E"/>
    <w:rsid w:val="00C564EB"/>
    <w:rsid w:val="00C60A16"/>
    <w:rsid w:val="00C617C9"/>
    <w:rsid w:val="00C65EC3"/>
    <w:rsid w:val="00C72622"/>
    <w:rsid w:val="00C73753"/>
    <w:rsid w:val="00C73E07"/>
    <w:rsid w:val="00C82D9C"/>
    <w:rsid w:val="00C8567E"/>
    <w:rsid w:val="00CA6FDE"/>
    <w:rsid w:val="00CD5DA3"/>
    <w:rsid w:val="00CD6B46"/>
    <w:rsid w:val="00CE225B"/>
    <w:rsid w:val="00CE2711"/>
    <w:rsid w:val="00CE3729"/>
    <w:rsid w:val="00CE4FF1"/>
    <w:rsid w:val="00CF1226"/>
    <w:rsid w:val="00CF16B2"/>
    <w:rsid w:val="00CF305C"/>
    <w:rsid w:val="00CF4178"/>
    <w:rsid w:val="00CF5631"/>
    <w:rsid w:val="00D07DC7"/>
    <w:rsid w:val="00D1057F"/>
    <w:rsid w:val="00D2056A"/>
    <w:rsid w:val="00D22C9C"/>
    <w:rsid w:val="00D23ECC"/>
    <w:rsid w:val="00D24F33"/>
    <w:rsid w:val="00D30F23"/>
    <w:rsid w:val="00D31793"/>
    <w:rsid w:val="00D32C12"/>
    <w:rsid w:val="00D33190"/>
    <w:rsid w:val="00D3478A"/>
    <w:rsid w:val="00D3785C"/>
    <w:rsid w:val="00D3797A"/>
    <w:rsid w:val="00D506A2"/>
    <w:rsid w:val="00D65978"/>
    <w:rsid w:val="00D67669"/>
    <w:rsid w:val="00D86A67"/>
    <w:rsid w:val="00D90A59"/>
    <w:rsid w:val="00D918AF"/>
    <w:rsid w:val="00D92C79"/>
    <w:rsid w:val="00D97E8F"/>
    <w:rsid w:val="00DA0382"/>
    <w:rsid w:val="00DA0680"/>
    <w:rsid w:val="00DA2E9C"/>
    <w:rsid w:val="00DA3D10"/>
    <w:rsid w:val="00DA45FA"/>
    <w:rsid w:val="00DA60D5"/>
    <w:rsid w:val="00DB27CD"/>
    <w:rsid w:val="00DB6B2D"/>
    <w:rsid w:val="00DC0CD6"/>
    <w:rsid w:val="00DC5092"/>
    <w:rsid w:val="00DC5CBD"/>
    <w:rsid w:val="00DD093F"/>
    <w:rsid w:val="00DD1E72"/>
    <w:rsid w:val="00DD44F1"/>
    <w:rsid w:val="00DE5533"/>
    <w:rsid w:val="00DE571C"/>
    <w:rsid w:val="00DF4524"/>
    <w:rsid w:val="00E0007C"/>
    <w:rsid w:val="00E0503E"/>
    <w:rsid w:val="00E1191A"/>
    <w:rsid w:val="00E227F5"/>
    <w:rsid w:val="00E3471F"/>
    <w:rsid w:val="00E348C3"/>
    <w:rsid w:val="00E4122D"/>
    <w:rsid w:val="00E4611A"/>
    <w:rsid w:val="00E47B59"/>
    <w:rsid w:val="00E54839"/>
    <w:rsid w:val="00E55371"/>
    <w:rsid w:val="00E57B85"/>
    <w:rsid w:val="00E60719"/>
    <w:rsid w:val="00E6702C"/>
    <w:rsid w:val="00E70AB3"/>
    <w:rsid w:val="00E76098"/>
    <w:rsid w:val="00E82701"/>
    <w:rsid w:val="00E92D96"/>
    <w:rsid w:val="00E94AD4"/>
    <w:rsid w:val="00EA1249"/>
    <w:rsid w:val="00EA358C"/>
    <w:rsid w:val="00EB1E61"/>
    <w:rsid w:val="00EB34BC"/>
    <w:rsid w:val="00EB5F6A"/>
    <w:rsid w:val="00EB6883"/>
    <w:rsid w:val="00EB6969"/>
    <w:rsid w:val="00EC499C"/>
    <w:rsid w:val="00EC65FE"/>
    <w:rsid w:val="00ED1348"/>
    <w:rsid w:val="00ED2A1F"/>
    <w:rsid w:val="00ED3266"/>
    <w:rsid w:val="00ED48CC"/>
    <w:rsid w:val="00EE13A4"/>
    <w:rsid w:val="00EE195E"/>
    <w:rsid w:val="00EE6BA7"/>
    <w:rsid w:val="00EF42B7"/>
    <w:rsid w:val="00F01164"/>
    <w:rsid w:val="00F01507"/>
    <w:rsid w:val="00F11872"/>
    <w:rsid w:val="00F172AB"/>
    <w:rsid w:val="00F23EC9"/>
    <w:rsid w:val="00F24563"/>
    <w:rsid w:val="00F245D2"/>
    <w:rsid w:val="00F47983"/>
    <w:rsid w:val="00F47B09"/>
    <w:rsid w:val="00F53CDE"/>
    <w:rsid w:val="00F60B93"/>
    <w:rsid w:val="00F63E9B"/>
    <w:rsid w:val="00F66AA4"/>
    <w:rsid w:val="00F70309"/>
    <w:rsid w:val="00F70EA1"/>
    <w:rsid w:val="00F73598"/>
    <w:rsid w:val="00F73A9D"/>
    <w:rsid w:val="00F73C52"/>
    <w:rsid w:val="00F75B6C"/>
    <w:rsid w:val="00F80FA6"/>
    <w:rsid w:val="00F8107C"/>
    <w:rsid w:val="00F8272C"/>
    <w:rsid w:val="00F82D0D"/>
    <w:rsid w:val="00F84826"/>
    <w:rsid w:val="00F94164"/>
    <w:rsid w:val="00F95ED4"/>
    <w:rsid w:val="00F966E3"/>
    <w:rsid w:val="00F96B6A"/>
    <w:rsid w:val="00FA1BD6"/>
    <w:rsid w:val="00FA23EA"/>
    <w:rsid w:val="00FA3B16"/>
    <w:rsid w:val="00FB733A"/>
    <w:rsid w:val="00FC2C1E"/>
    <w:rsid w:val="00FC5EE4"/>
    <w:rsid w:val="00FD07D6"/>
    <w:rsid w:val="00FE0902"/>
    <w:rsid w:val="00FE094B"/>
    <w:rsid w:val="00FE0CE5"/>
    <w:rsid w:val="00FE3729"/>
    <w:rsid w:val="00FE5D18"/>
    <w:rsid w:val="00FE7B33"/>
    <w:rsid w:val="00FF188C"/>
    <w:rsid w:val="00FF7085"/>
    <w:rsid w:val="00FF7D81"/>
    <w:rsid w:val="03532646"/>
    <w:rsid w:val="18B138AE"/>
    <w:rsid w:val="1FFA03AA"/>
    <w:rsid w:val="21FB460C"/>
    <w:rsid w:val="25A83499"/>
    <w:rsid w:val="297D1D01"/>
    <w:rsid w:val="34A1020C"/>
    <w:rsid w:val="41E76D60"/>
    <w:rsid w:val="68836263"/>
    <w:rsid w:val="700B0DD1"/>
    <w:rsid w:val="717052D0"/>
    <w:rsid w:val="7938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9908B"/>
  <w15:docId w15:val="{5DC8B074-F38D-4632-A7BA-9478917E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6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qFormat/>
    <w:rsid w:val="005D1E63"/>
    <w:pPr>
      <w:jc w:val="left"/>
    </w:pPr>
  </w:style>
  <w:style w:type="paragraph" w:styleId="a4">
    <w:name w:val="Body Text"/>
    <w:basedOn w:val="a"/>
    <w:link w:val="10"/>
    <w:qFormat/>
    <w:rsid w:val="005D1E63"/>
    <w:pPr>
      <w:spacing w:line="600" w:lineRule="atLeast"/>
    </w:pPr>
  </w:style>
  <w:style w:type="paragraph" w:styleId="a5">
    <w:name w:val="Body Text Indent"/>
    <w:basedOn w:val="a"/>
    <w:link w:val="a6"/>
    <w:qFormat/>
    <w:rsid w:val="005D1E63"/>
    <w:pPr>
      <w:ind w:firstLineChars="200" w:firstLine="643"/>
    </w:pPr>
  </w:style>
  <w:style w:type="paragraph" w:styleId="a7">
    <w:name w:val="Balloon Text"/>
    <w:basedOn w:val="a"/>
    <w:link w:val="a8"/>
    <w:qFormat/>
    <w:rsid w:val="005D1E63"/>
    <w:rPr>
      <w:sz w:val="18"/>
      <w:szCs w:val="18"/>
    </w:rPr>
  </w:style>
  <w:style w:type="paragraph" w:styleId="a9">
    <w:name w:val="footer"/>
    <w:basedOn w:val="a"/>
    <w:link w:val="11"/>
    <w:uiPriority w:val="99"/>
    <w:qFormat/>
    <w:rsid w:val="005D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rsid w:val="005D1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sid w:val="005D1E63"/>
    <w:rPr>
      <w:b/>
      <w:bCs/>
    </w:rPr>
  </w:style>
  <w:style w:type="table" w:styleId="ae">
    <w:name w:val="Table Grid"/>
    <w:basedOn w:val="a1"/>
    <w:qFormat/>
    <w:rsid w:val="005D1E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  <w:rsid w:val="005D1E63"/>
  </w:style>
  <w:style w:type="character" w:styleId="af0">
    <w:name w:val="FollowedHyperlink"/>
    <w:basedOn w:val="a0"/>
    <w:qFormat/>
    <w:rsid w:val="005D1E63"/>
    <w:rPr>
      <w:color w:val="800080" w:themeColor="followedHyperlink"/>
      <w:u w:val="single"/>
    </w:rPr>
  </w:style>
  <w:style w:type="character" w:styleId="af1">
    <w:name w:val="Hyperlink"/>
    <w:uiPriority w:val="99"/>
    <w:unhideWhenUsed/>
    <w:qFormat/>
    <w:rsid w:val="005D1E63"/>
    <w:rPr>
      <w:color w:val="0000FF"/>
      <w:u w:val="single"/>
    </w:rPr>
  </w:style>
  <w:style w:type="character" w:styleId="af2">
    <w:name w:val="annotation reference"/>
    <w:qFormat/>
    <w:rsid w:val="005D1E63"/>
    <w:rPr>
      <w:sz w:val="21"/>
      <w:szCs w:val="21"/>
    </w:rPr>
  </w:style>
  <w:style w:type="table" w:customStyle="1" w:styleId="12">
    <w:name w:val="1"/>
    <w:basedOn w:val="ae"/>
    <w:qFormat/>
    <w:rsid w:val="005D1E63"/>
    <w:tblPr/>
  </w:style>
  <w:style w:type="paragraph" w:customStyle="1" w:styleId="Char">
    <w:name w:val="Char"/>
    <w:basedOn w:val="a"/>
    <w:qFormat/>
    <w:rsid w:val="005D1E63"/>
    <w:pPr>
      <w:spacing w:line="360" w:lineRule="auto"/>
    </w:pPr>
    <w:rPr>
      <w:rFonts w:eastAsia="宋体"/>
      <w:sz w:val="24"/>
    </w:rPr>
  </w:style>
  <w:style w:type="character" w:customStyle="1" w:styleId="ab">
    <w:name w:val="页眉 字符"/>
    <w:link w:val="aa"/>
    <w:qFormat/>
    <w:rsid w:val="005D1E63"/>
    <w:rPr>
      <w:rFonts w:eastAsia="仿宋_GB2312"/>
      <w:kern w:val="2"/>
      <w:sz w:val="18"/>
      <w:szCs w:val="18"/>
    </w:rPr>
  </w:style>
  <w:style w:type="character" w:customStyle="1" w:styleId="11">
    <w:name w:val="页脚 字符1"/>
    <w:link w:val="a9"/>
    <w:qFormat/>
    <w:rsid w:val="005D1E63"/>
    <w:rPr>
      <w:rFonts w:eastAsia="仿宋_GB2312"/>
      <w:kern w:val="2"/>
      <w:sz w:val="18"/>
      <w:szCs w:val="18"/>
    </w:rPr>
  </w:style>
  <w:style w:type="character" w:customStyle="1" w:styleId="a8">
    <w:name w:val="批注框文本 字符"/>
    <w:link w:val="a7"/>
    <w:qFormat/>
    <w:rsid w:val="005D1E63"/>
    <w:rPr>
      <w:rFonts w:eastAsia="仿宋_GB2312"/>
      <w:kern w:val="2"/>
      <w:sz w:val="18"/>
      <w:szCs w:val="18"/>
    </w:rPr>
  </w:style>
  <w:style w:type="character" w:customStyle="1" w:styleId="10">
    <w:name w:val="正文文本 字符1"/>
    <w:basedOn w:val="a0"/>
    <w:link w:val="a4"/>
    <w:qFormat/>
    <w:rsid w:val="005D1E63"/>
    <w:rPr>
      <w:rFonts w:eastAsia="仿宋_GB2312"/>
      <w:kern w:val="2"/>
      <w:sz w:val="32"/>
      <w:szCs w:val="24"/>
    </w:rPr>
  </w:style>
  <w:style w:type="character" w:customStyle="1" w:styleId="af3">
    <w:name w:val="正文文本 字符"/>
    <w:qFormat/>
    <w:rsid w:val="005D1E63"/>
    <w:rPr>
      <w:rFonts w:eastAsia="仿宋_GB2312"/>
      <w:kern w:val="2"/>
      <w:sz w:val="32"/>
      <w:szCs w:val="24"/>
    </w:rPr>
  </w:style>
  <w:style w:type="character" w:customStyle="1" w:styleId="af4">
    <w:name w:val="页脚 字符"/>
    <w:uiPriority w:val="99"/>
    <w:qFormat/>
    <w:rsid w:val="005D1E63"/>
    <w:rPr>
      <w:rFonts w:eastAsia="仿宋_GB2312"/>
      <w:kern w:val="2"/>
      <w:sz w:val="18"/>
      <w:szCs w:val="18"/>
    </w:rPr>
  </w:style>
  <w:style w:type="paragraph" w:customStyle="1" w:styleId="Style18">
    <w:name w:val="_Style 18"/>
    <w:uiPriority w:val="99"/>
    <w:unhideWhenUsed/>
    <w:qFormat/>
    <w:rsid w:val="005D1E6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customStyle="1" w:styleId="af5">
    <w:name w:val="批注文字 字符"/>
    <w:qFormat/>
    <w:rsid w:val="005D1E63"/>
    <w:rPr>
      <w:rFonts w:eastAsia="仿宋_GB2312"/>
      <w:kern w:val="2"/>
      <w:sz w:val="32"/>
      <w:szCs w:val="24"/>
    </w:rPr>
  </w:style>
  <w:style w:type="character" w:customStyle="1" w:styleId="ad">
    <w:name w:val="批注主题 字符"/>
    <w:link w:val="ac"/>
    <w:qFormat/>
    <w:rsid w:val="005D1E63"/>
    <w:rPr>
      <w:rFonts w:eastAsia="仿宋_GB2312"/>
      <w:b/>
      <w:bCs/>
      <w:kern w:val="2"/>
      <w:sz w:val="32"/>
      <w:szCs w:val="24"/>
    </w:rPr>
  </w:style>
  <w:style w:type="character" w:customStyle="1" w:styleId="a6">
    <w:name w:val="正文文本缩进 字符"/>
    <w:basedOn w:val="a0"/>
    <w:link w:val="a5"/>
    <w:qFormat/>
    <w:rsid w:val="005D1E63"/>
    <w:rPr>
      <w:rFonts w:eastAsia="仿宋_GB2312"/>
      <w:kern w:val="2"/>
      <w:sz w:val="32"/>
      <w:szCs w:val="24"/>
    </w:rPr>
  </w:style>
  <w:style w:type="character" w:customStyle="1" w:styleId="1">
    <w:name w:val="批注文字 字符1"/>
    <w:basedOn w:val="a0"/>
    <w:link w:val="a3"/>
    <w:qFormat/>
    <w:rsid w:val="005D1E63"/>
    <w:rPr>
      <w:rFonts w:eastAsia="仿宋_GB2312"/>
      <w:kern w:val="2"/>
      <w:sz w:val="32"/>
      <w:szCs w:val="24"/>
    </w:rPr>
  </w:style>
  <w:style w:type="character" w:customStyle="1" w:styleId="Char0">
    <w:name w:val="批注主题 Char"/>
    <w:basedOn w:val="1"/>
    <w:qFormat/>
    <w:rsid w:val="005D1E63"/>
    <w:rPr>
      <w:rFonts w:eastAsia="仿宋_GB2312"/>
      <w:b/>
      <w:bCs/>
      <w:kern w:val="2"/>
      <w:sz w:val="32"/>
      <w:szCs w:val="24"/>
    </w:rPr>
  </w:style>
  <w:style w:type="paragraph" w:customStyle="1" w:styleId="xl69">
    <w:name w:val="xl69"/>
    <w:basedOn w:val="a"/>
    <w:qFormat/>
    <w:rsid w:val="005D1E6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76">
    <w:name w:val="xl76"/>
    <w:basedOn w:val="a"/>
    <w:qFormat/>
    <w:rsid w:val="005D1E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70">
    <w:name w:val="xl70"/>
    <w:basedOn w:val="a"/>
    <w:qFormat/>
    <w:rsid w:val="005D1E6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7">
    <w:name w:val="xl67"/>
    <w:basedOn w:val="a"/>
    <w:qFormat/>
    <w:rsid w:val="005D1E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Char1">
    <w:name w:val="Char1"/>
    <w:basedOn w:val="a"/>
    <w:qFormat/>
    <w:rsid w:val="005D1E63"/>
    <w:rPr>
      <w:rFonts w:eastAsia="宋体"/>
      <w:kern w:val="0"/>
      <w:sz w:val="21"/>
      <w:szCs w:val="20"/>
    </w:rPr>
  </w:style>
  <w:style w:type="paragraph" w:customStyle="1" w:styleId="xl65">
    <w:name w:val="xl65"/>
    <w:basedOn w:val="a"/>
    <w:qFormat/>
    <w:rsid w:val="005D1E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msonormal0">
    <w:name w:val="msonormal"/>
    <w:basedOn w:val="a"/>
    <w:qFormat/>
    <w:rsid w:val="005D1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75">
    <w:name w:val="xl75"/>
    <w:basedOn w:val="a"/>
    <w:qFormat/>
    <w:rsid w:val="005D1E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5D1E6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p0">
    <w:name w:val="p0"/>
    <w:basedOn w:val="a"/>
    <w:qFormat/>
    <w:rsid w:val="005D1E63"/>
    <w:pPr>
      <w:widowControl/>
    </w:pPr>
    <w:rPr>
      <w:rFonts w:eastAsia="宋体"/>
      <w:kern w:val="0"/>
      <w:sz w:val="21"/>
      <w:szCs w:val="21"/>
    </w:rPr>
  </w:style>
  <w:style w:type="paragraph" w:customStyle="1" w:styleId="xl72">
    <w:name w:val="xl72"/>
    <w:basedOn w:val="a"/>
    <w:qFormat/>
    <w:rsid w:val="005D1E6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6">
    <w:name w:val="xl66"/>
    <w:basedOn w:val="a"/>
    <w:qFormat/>
    <w:rsid w:val="005D1E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5D1E6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5D1E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5D1E6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5D1E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4EB06-2E81-405E-99D0-B5A95397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1726</Words>
  <Characters>9841</Characters>
  <Application>Microsoft Office Word</Application>
  <DocSecurity>0</DocSecurity>
  <Lines>82</Lines>
  <Paragraphs>23</Paragraphs>
  <ScaleCrop>false</ScaleCrop>
  <Company>MC SYSTEM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一、发电机组可靠性</dc:title>
  <dc:creator>zhou</dc:creator>
  <cp:lastModifiedBy>毛澍</cp:lastModifiedBy>
  <cp:revision>3</cp:revision>
  <cp:lastPrinted>2020-06-19T08:01:00Z</cp:lastPrinted>
  <dcterms:created xsi:type="dcterms:W3CDTF">2020-07-13T09:56:00Z</dcterms:created>
  <dcterms:modified xsi:type="dcterms:W3CDTF">2020-07-13T09:59:00Z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